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tblInd w:w="108" w:type="dxa"/>
        <w:tblLook w:val="0000"/>
      </w:tblPr>
      <w:tblGrid>
        <w:gridCol w:w="2951"/>
        <w:gridCol w:w="6049"/>
      </w:tblGrid>
      <w:tr w:rsidR="0013074D" w:rsidRPr="0013074D" w:rsidTr="0013074D">
        <w:tc>
          <w:tcPr>
            <w:tcW w:w="2951" w:type="dxa"/>
          </w:tcPr>
          <w:p w:rsidR="0013074D" w:rsidRDefault="0013074D" w:rsidP="0013074D">
            <w:pPr>
              <w:widowControl w:val="0"/>
              <w:jc w:val="center"/>
              <w:rPr>
                <w:rFonts w:ascii="Arial" w:hAnsi="Arial" w:cs="Arial"/>
                <w:b/>
                <w:bCs/>
                <w:sz w:val="20"/>
                <w:szCs w:val="20"/>
                <w:lang w:val="nl-NL"/>
              </w:rPr>
            </w:pPr>
            <w:r w:rsidRPr="0013074D">
              <w:rPr>
                <w:rFonts w:ascii="Arial" w:hAnsi="Arial" w:cs="Arial"/>
                <w:b/>
                <w:bCs/>
                <w:sz w:val="20"/>
                <w:szCs w:val="20"/>
                <w:lang w:val="nl-NL"/>
              </w:rPr>
              <w:t>BỘ TÀI CHÍNH</w:t>
            </w:r>
          </w:p>
          <w:p w:rsidR="0013074D" w:rsidRDefault="0013074D" w:rsidP="0013074D">
            <w:pPr>
              <w:widowControl w:val="0"/>
              <w:jc w:val="center"/>
              <w:rPr>
                <w:rFonts w:ascii="Arial" w:hAnsi="Arial" w:cs="Arial"/>
                <w:b/>
                <w:bCs/>
                <w:sz w:val="20"/>
                <w:szCs w:val="20"/>
                <w:lang w:val="nl-NL"/>
              </w:rPr>
            </w:pPr>
            <w:r>
              <w:rPr>
                <w:rFonts w:ascii="Arial" w:hAnsi="Arial" w:cs="Arial"/>
                <w:b/>
                <w:bCs/>
                <w:sz w:val="20"/>
                <w:szCs w:val="20"/>
                <w:lang w:val="nl-NL"/>
              </w:rPr>
              <w:t>-------------------</w:t>
            </w:r>
          </w:p>
          <w:p w:rsidR="0013074D" w:rsidRPr="0013074D" w:rsidRDefault="0013074D" w:rsidP="0013074D">
            <w:pPr>
              <w:widowControl w:val="0"/>
              <w:jc w:val="center"/>
              <w:rPr>
                <w:rFonts w:ascii="Arial" w:hAnsi="Arial" w:cs="Arial"/>
                <w:b/>
                <w:bCs/>
                <w:sz w:val="20"/>
                <w:szCs w:val="20"/>
                <w:lang w:val="nl-NL"/>
              </w:rPr>
            </w:pPr>
            <w:r w:rsidRPr="0013074D">
              <w:rPr>
                <w:rFonts w:ascii="Arial" w:hAnsi="Arial" w:cs="Arial"/>
                <w:sz w:val="20"/>
                <w:szCs w:val="20"/>
                <w:lang w:val="nl-NL"/>
              </w:rPr>
              <w:t>Số: 155/2012/TT-BTC</w:t>
            </w:r>
          </w:p>
        </w:tc>
        <w:tc>
          <w:tcPr>
            <w:tcW w:w="6049" w:type="dxa"/>
          </w:tcPr>
          <w:p w:rsidR="0013074D" w:rsidRDefault="0013074D" w:rsidP="0013074D">
            <w:pPr>
              <w:widowControl w:val="0"/>
              <w:jc w:val="center"/>
              <w:rPr>
                <w:rFonts w:ascii="Arial" w:hAnsi="Arial" w:cs="Arial"/>
                <w:b/>
                <w:bCs/>
                <w:sz w:val="20"/>
                <w:szCs w:val="20"/>
                <w:lang w:val="nl-NL"/>
              </w:rPr>
            </w:pPr>
            <w:r w:rsidRPr="0013074D">
              <w:rPr>
                <w:rFonts w:ascii="Arial" w:hAnsi="Arial" w:cs="Arial"/>
                <w:b/>
                <w:bCs/>
                <w:sz w:val="20"/>
                <w:szCs w:val="20"/>
                <w:lang w:val="nl-NL"/>
              </w:rPr>
              <w:t>CỘNG HOÀ XÃ HỘI CHỦ NGHĨA VIỆT NAM</w:t>
            </w:r>
          </w:p>
          <w:p w:rsidR="0013074D" w:rsidRDefault="0013074D" w:rsidP="0013074D">
            <w:pPr>
              <w:widowControl w:val="0"/>
              <w:jc w:val="center"/>
              <w:rPr>
                <w:rFonts w:ascii="Arial" w:hAnsi="Arial" w:cs="Arial"/>
                <w:b/>
                <w:bCs/>
                <w:sz w:val="20"/>
                <w:szCs w:val="20"/>
                <w:lang w:val="nl-NL"/>
              </w:rPr>
            </w:pPr>
            <w:r w:rsidRPr="0013074D">
              <w:rPr>
                <w:rFonts w:ascii="Arial" w:hAnsi="Arial" w:cs="Arial"/>
                <w:b/>
                <w:bCs/>
                <w:sz w:val="20"/>
                <w:szCs w:val="20"/>
                <w:lang w:val="nl-NL"/>
              </w:rPr>
              <w:t xml:space="preserve">Độc lập </w:t>
            </w:r>
            <w:r w:rsidRPr="0013074D">
              <w:rPr>
                <w:rFonts w:ascii="Arial" w:hAnsi="Arial" w:cs="Arial"/>
                <w:bCs/>
                <w:sz w:val="20"/>
                <w:szCs w:val="20"/>
                <w:lang w:val="nl-NL"/>
              </w:rPr>
              <w:t>–</w:t>
            </w:r>
            <w:r w:rsidRPr="0013074D">
              <w:rPr>
                <w:rFonts w:ascii="Arial" w:hAnsi="Arial" w:cs="Arial"/>
                <w:b/>
                <w:bCs/>
                <w:sz w:val="20"/>
                <w:szCs w:val="20"/>
                <w:lang w:val="nl-NL"/>
              </w:rPr>
              <w:t xml:space="preserve"> Tự do </w:t>
            </w:r>
            <w:r w:rsidRPr="0013074D">
              <w:rPr>
                <w:rFonts w:ascii="Arial" w:hAnsi="Arial" w:cs="Arial"/>
                <w:bCs/>
                <w:sz w:val="20"/>
                <w:szCs w:val="20"/>
                <w:lang w:val="nl-NL"/>
              </w:rPr>
              <w:t>–</w:t>
            </w:r>
            <w:r w:rsidRPr="0013074D">
              <w:rPr>
                <w:rFonts w:ascii="Arial" w:hAnsi="Arial" w:cs="Arial"/>
                <w:b/>
                <w:bCs/>
                <w:sz w:val="20"/>
                <w:szCs w:val="20"/>
                <w:lang w:val="nl-NL"/>
              </w:rPr>
              <w:t xml:space="preserve"> Hạnh phúc</w:t>
            </w:r>
          </w:p>
          <w:p w:rsidR="0013074D" w:rsidRDefault="0013074D" w:rsidP="0013074D">
            <w:pPr>
              <w:widowControl w:val="0"/>
              <w:jc w:val="center"/>
              <w:rPr>
                <w:rFonts w:ascii="Arial" w:hAnsi="Arial" w:cs="Arial"/>
                <w:b/>
                <w:bCs/>
                <w:sz w:val="20"/>
                <w:szCs w:val="20"/>
                <w:lang w:val="nl-NL"/>
              </w:rPr>
            </w:pPr>
            <w:r>
              <w:rPr>
                <w:rFonts w:ascii="Arial" w:hAnsi="Arial" w:cs="Arial"/>
                <w:b/>
                <w:bCs/>
                <w:sz w:val="20"/>
                <w:szCs w:val="20"/>
                <w:lang w:val="nl-NL"/>
              </w:rPr>
              <w:t>-------------------</w:t>
            </w:r>
          </w:p>
          <w:p w:rsidR="0013074D" w:rsidRPr="0013074D" w:rsidRDefault="0013074D" w:rsidP="0013074D">
            <w:pPr>
              <w:widowControl w:val="0"/>
              <w:jc w:val="right"/>
              <w:rPr>
                <w:rFonts w:ascii="Arial" w:hAnsi="Arial" w:cs="Arial"/>
                <w:b/>
                <w:bCs/>
                <w:i/>
                <w:sz w:val="20"/>
                <w:szCs w:val="20"/>
                <w:lang w:val="nl-NL"/>
              </w:rPr>
            </w:pPr>
            <w:r w:rsidRPr="0013074D">
              <w:rPr>
                <w:rFonts w:ascii="Arial" w:hAnsi="Arial" w:cs="Arial"/>
                <w:i/>
                <w:sz w:val="20"/>
                <w:szCs w:val="20"/>
                <w:lang w:val="nl-NL"/>
              </w:rPr>
              <w:t>Hà Nội, ngày 20 tháng 9 năm 2012</w:t>
            </w:r>
          </w:p>
        </w:tc>
      </w:tr>
    </w:tbl>
    <w:p w:rsidR="0013074D" w:rsidRPr="0013074D" w:rsidRDefault="0013074D" w:rsidP="0013074D">
      <w:pPr>
        <w:widowControl w:val="0"/>
        <w:jc w:val="center"/>
        <w:rPr>
          <w:rFonts w:ascii="Arial" w:hAnsi="Arial" w:cs="Arial"/>
          <w:b/>
          <w:sz w:val="20"/>
          <w:szCs w:val="20"/>
          <w:lang w:val="nl-NL"/>
        </w:rPr>
      </w:pPr>
    </w:p>
    <w:p w:rsidR="0013074D" w:rsidRPr="0013074D" w:rsidRDefault="0013074D" w:rsidP="0013074D">
      <w:pPr>
        <w:widowControl w:val="0"/>
        <w:jc w:val="center"/>
        <w:rPr>
          <w:rFonts w:ascii="Arial" w:hAnsi="Arial" w:cs="Arial"/>
          <w:b/>
          <w:sz w:val="20"/>
          <w:szCs w:val="20"/>
          <w:lang w:val="nl-NL"/>
        </w:rPr>
      </w:pPr>
    </w:p>
    <w:p w:rsidR="0013074D" w:rsidRPr="0013074D" w:rsidRDefault="0013074D" w:rsidP="0013074D">
      <w:pPr>
        <w:widowControl w:val="0"/>
        <w:jc w:val="center"/>
        <w:rPr>
          <w:rFonts w:ascii="Arial" w:hAnsi="Arial" w:cs="Arial"/>
          <w:b/>
          <w:sz w:val="20"/>
          <w:szCs w:val="20"/>
          <w:lang w:val="nl-NL"/>
        </w:rPr>
      </w:pPr>
      <w:r w:rsidRPr="0013074D">
        <w:rPr>
          <w:rFonts w:ascii="Arial" w:hAnsi="Arial" w:cs="Arial"/>
          <w:b/>
          <w:sz w:val="20"/>
          <w:szCs w:val="20"/>
          <w:lang w:val="nl-NL"/>
        </w:rPr>
        <w:t>THÔNG TƯ</w:t>
      </w:r>
    </w:p>
    <w:p w:rsidR="0013074D" w:rsidRPr="0013074D" w:rsidRDefault="0013074D" w:rsidP="0013074D">
      <w:pPr>
        <w:widowControl w:val="0"/>
        <w:jc w:val="center"/>
        <w:rPr>
          <w:rFonts w:ascii="Arial" w:hAnsi="Arial" w:cs="Arial"/>
          <w:b/>
          <w:sz w:val="20"/>
          <w:szCs w:val="20"/>
          <w:lang w:val="nl-NL"/>
        </w:rPr>
      </w:pPr>
      <w:r w:rsidRPr="0013074D">
        <w:rPr>
          <w:rFonts w:ascii="Arial" w:hAnsi="Arial" w:cs="Arial"/>
          <w:b/>
          <w:sz w:val="20"/>
          <w:szCs w:val="20"/>
          <w:lang w:val="nl-NL"/>
        </w:rPr>
        <w:t xml:space="preserve">Quy định mức thu, chế độ thu, nộp, quản lý và </w:t>
      </w:r>
    </w:p>
    <w:p w:rsidR="0013074D" w:rsidRPr="0013074D" w:rsidRDefault="0013074D" w:rsidP="0013074D">
      <w:pPr>
        <w:widowControl w:val="0"/>
        <w:jc w:val="center"/>
        <w:rPr>
          <w:rFonts w:ascii="Arial" w:hAnsi="Arial" w:cs="Arial"/>
          <w:b/>
          <w:sz w:val="20"/>
          <w:szCs w:val="20"/>
          <w:lang w:val="nl-NL"/>
        </w:rPr>
      </w:pPr>
      <w:r w:rsidRPr="0013074D">
        <w:rPr>
          <w:rFonts w:ascii="Arial" w:hAnsi="Arial" w:cs="Arial"/>
          <w:b/>
          <w:bCs/>
          <w:sz w:val="20"/>
          <w:szCs w:val="20"/>
          <w:lang w:val="nl-NL"/>
        </w:rPr>
        <w:t>sử dụng</w:t>
      </w:r>
      <w:r w:rsidRPr="0013074D">
        <w:rPr>
          <w:rFonts w:ascii="Arial" w:hAnsi="Arial" w:cs="Arial"/>
          <w:b/>
          <w:sz w:val="20"/>
          <w:szCs w:val="20"/>
          <w:lang w:val="nl-NL"/>
        </w:rPr>
        <w:t xml:space="preserve"> lệ phí Chứng minh nhân dân mới</w:t>
      </w:r>
    </w:p>
    <w:p w:rsidR="0013074D" w:rsidRDefault="0013074D" w:rsidP="0013074D">
      <w:pPr>
        <w:widowControl w:val="0"/>
        <w:jc w:val="center"/>
        <w:rPr>
          <w:rFonts w:ascii="Arial" w:hAnsi="Arial" w:cs="Arial"/>
          <w:sz w:val="20"/>
          <w:szCs w:val="20"/>
          <w:lang w:val="nl-NL"/>
        </w:rPr>
      </w:pPr>
      <w:r>
        <w:rPr>
          <w:rFonts w:ascii="Arial" w:hAnsi="Arial" w:cs="Arial"/>
          <w:sz w:val="20"/>
          <w:szCs w:val="20"/>
          <w:lang w:val="nl-NL"/>
        </w:rPr>
        <w:t>------------------</w:t>
      </w:r>
    </w:p>
    <w:p w:rsidR="0013074D" w:rsidRDefault="0013074D" w:rsidP="0013074D">
      <w:pPr>
        <w:widowControl w:val="0"/>
        <w:jc w:val="center"/>
        <w:rPr>
          <w:rFonts w:ascii="Arial" w:hAnsi="Arial" w:cs="Arial"/>
          <w:sz w:val="20"/>
          <w:szCs w:val="20"/>
          <w:lang w:val="nl-NL"/>
        </w:rPr>
      </w:pPr>
    </w:p>
    <w:p w:rsidR="0013074D" w:rsidRPr="0013074D" w:rsidRDefault="0013074D" w:rsidP="0013074D">
      <w:pPr>
        <w:widowControl w:val="0"/>
        <w:jc w:val="center"/>
        <w:rPr>
          <w:rFonts w:ascii="Arial" w:hAnsi="Arial" w:cs="Arial"/>
          <w:sz w:val="20"/>
          <w:szCs w:val="20"/>
          <w:lang w:val="nl-NL"/>
        </w:rPr>
      </w:pPr>
    </w:p>
    <w:p w:rsidR="0013074D" w:rsidRPr="0013074D" w:rsidRDefault="0013074D" w:rsidP="0013074D">
      <w:pPr>
        <w:widowControl w:val="0"/>
        <w:spacing w:after="120"/>
        <w:ind w:firstLine="720"/>
        <w:jc w:val="both"/>
        <w:rPr>
          <w:rFonts w:ascii="Arial" w:hAnsi="Arial" w:cs="Arial"/>
          <w:i/>
          <w:sz w:val="20"/>
          <w:szCs w:val="20"/>
          <w:lang w:val="nl-NL"/>
        </w:rPr>
      </w:pPr>
      <w:r w:rsidRPr="0013074D">
        <w:rPr>
          <w:rFonts w:ascii="Arial" w:hAnsi="Arial" w:cs="Arial"/>
          <w:i/>
          <w:sz w:val="20"/>
          <w:szCs w:val="20"/>
          <w:lang w:val="nl-NL"/>
        </w:rPr>
        <w:t>Căn cứ Pháp lệnh Phí và Lệ phí số 38/2001/PL-UBTVQH10 ngày 28/8/2001;</w:t>
      </w:r>
    </w:p>
    <w:p w:rsidR="0013074D" w:rsidRPr="0013074D" w:rsidRDefault="0013074D" w:rsidP="0013074D">
      <w:pPr>
        <w:widowControl w:val="0"/>
        <w:spacing w:after="120"/>
        <w:ind w:firstLine="720"/>
        <w:jc w:val="both"/>
        <w:rPr>
          <w:rFonts w:ascii="Arial" w:hAnsi="Arial" w:cs="Arial"/>
          <w:i/>
          <w:sz w:val="20"/>
          <w:szCs w:val="20"/>
          <w:lang w:val="nl-NL"/>
        </w:rPr>
      </w:pPr>
      <w:r w:rsidRPr="0013074D">
        <w:rPr>
          <w:rFonts w:ascii="Arial" w:hAnsi="Arial" w:cs="Arial"/>
          <w:i/>
          <w:sz w:val="20"/>
          <w:szCs w:val="20"/>
          <w:lang w:val="nl-NL"/>
        </w:rPr>
        <w:t xml:space="preserve">Căn cứ Nghị định số 57/2002/NĐ-CP ngày 03/6/2002 của Chính phủ quy định chi tiết thi hành </w:t>
      </w:r>
      <w:r w:rsidRPr="0013074D">
        <w:rPr>
          <w:rFonts w:ascii="Arial" w:hAnsi="Arial" w:cs="Arial"/>
          <w:i/>
          <w:iCs/>
          <w:sz w:val="20"/>
          <w:szCs w:val="20"/>
          <w:lang w:val="nl-NL"/>
        </w:rPr>
        <w:t>Pháp lệnh</w:t>
      </w:r>
      <w:r w:rsidRPr="0013074D">
        <w:rPr>
          <w:rFonts w:ascii="Arial" w:hAnsi="Arial" w:cs="Arial"/>
          <w:i/>
          <w:sz w:val="20"/>
          <w:szCs w:val="20"/>
          <w:lang w:val="nl-NL"/>
        </w:rPr>
        <w:t xml:space="preserve"> Phí và Lệ phí; Nghị định số 24/2006/NĐ-CP ngày 06/3/2006 sửa đổi, bổ sung một số điều của Nghị định số 57/2002/NĐ-CP ngày 03/6/2002;</w:t>
      </w:r>
    </w:p>
    <w:p w:rsidR="0013074D" w:rsidRPr="0013074D" w:rsidRDefault="0013074D" w:rsidP="0013074D">
      <w:pPr>
        <w:spacing w:after="120"/>
        <w:ind w:firstLine="720"/>
        <w:jc w:val="both"/>
        <w:rPr>
          <w:rFonts w:ascii="Arial" w:hAnsi="Arial" w:cs="Arial"/>
          <w:i/>
          <w:sz w:val="20"/>
          <w:szCs w:val="20"/>
          <w:lang w:val="nl-NL"/>
        </w:rPr>
      </w:pPr>
      <w:r w:rsidRPr="0013074D">
        <w:rPr>
          <w:rFonts w:ascii="Arial" w:hAnsi="Arial" w:cs="Arial"/>
          <w:i/>
          <w:sz w:val="20"/>
          <w:szCs w:val="20"/>
          <w:lang w:val="nl-NL"/>
        </w:rPr>
        <w:t>Căn cứ Nghị định số 118/2008/NĐ-CP ngày 27/11/2008 của Chính phủ quy định chức năng, nhiệm vụ, quyền hạn và cơ cấu tổ chức của Bộ Tài chính;</w:t>
      </w:r>
    </w:p>
    <w:p w:rsidR="0013074D" w:rsidRPr="0013074D" w:rsidRDefault="0013074D" w:rsidP="0013074D">
      <w:pPr>
        <w:spacing w:after="120"/>
        <w:ind w:firstLine="720"/>
        <w:jc w:val="both"/>
        <w:rPr>
          <w:rFonts w:ascii="Arial" w:hAnsi="Arial" w:cs="Arial"/>
          <w:i/>
          <w:sz w:val="20"/>
          <w:szCs w:val="20"/>
          <w:lang w:val="nl-NL"/>
        </w:rPr>
      </w:pPr>
      <w:r w:rsidRPr="0013074D">
        <w:rPr>
          <w:rFonts w:ascii="Arial" w:hAnsi="Arial" w:cs="Arial"/>
          <w:i/>
          <w:sz w:val="20"/>
          <w:szCs w:val="20"/>
          <w:lang w:val="nl-NL"/>
        </w:rPr>
        <w:t>Căn cứ Nghị định số 05/1999/NĐ-CP ngày 03/2/1999 của Chính phủ quy định về Chứng minh nhân dân; Nghị định số 170/2007/NĐ-CP ngày 19/11/2007 sửa đổi bổ sung một số điều của Nghị định số 05/1999/NĐ-CP ngày 03/2/1999;</w:t>
      </w:r>
    </w:p>
    <w:p w:rsidR="0013074D" w:rsidRPr="0013074D" w:rsidRDefault="0013074D" w:rsidP="0013074D">
      <w:pPr>
        <w:spacing w:after="120"/>
        <w:ind w:firstLine="720"/>
        <w:jc w:val="both"/>
        <w:rPr>
          <w:rFonts w:ascii="Arial" w:hAnsi="Arial" w:cs="Arial"/>
          <w:i/>
          <w:sz w:val="20"/>
          <w:szCs w:val="20"/>
          <w:lang w:val="nl-NL"/>
        </w:rPr>
      </w:pPr>
      <w:r w:rsidRPr="0013074D">
        <w:rPr>
          <w:rFonts w:ascii="Arial" w:hAnsi="Arial" w:cs="Arial"/>
          <w:i/>
          <w:sz w:val="20"/>
          <w:szCs w:val="20"/>
          <w:lang w:val="nl-NL"/>
        </w:rPr>
        <w:t>Căn cứ Quyết định số 446/QĐ-TTg ngày 11/5/2004 của Thủ tướng Chính phủ phê duyệt dự án sản xuất, cấp và quản lý Chứng minh nhân dân;</w:t>
      </w:r>
    </w:p>
    <w:p w:rsidR="0013074D" w:rsidRPr="0013074D" w:rsidRDefault="0013074D" w:rsidP="0013074D">
      <w:pPr>
        <w:spacing w:after="120"/>
        <w:ind w:firstLine="720"/>
        <w:jc w:val="both"/>
        <w:rPr>
          <w:rFonts w:ascii="Arial" w:hAnsi="Arial" w:cs="Arial"/>
          <w:i/>
          <w:sz w:val="20"/>
          <w:szCs w:val="20"/>
          <w:lang w:val="nl-NL"/>
        </w:rPr>
      </w:pPr>
      <w:r w:rsidRPr="0013074D">
        <w:rPr>
          <w:rFonts w:ascii="Arial" w:hAnsi="Arial" w:cs="Arial"/>
          <w:i/>
          <w:sz w:val="20"/>
          <w:szCs w:val="20"/>
          <w:lang w:val="nl-NL"/>
        </w:rPr>
        <w:t>Xét đề nghị của Vụ trưởng Vụ Chính sách thuế,</w:t>
      </w:r>
    </w:p>
    <w:p w:rsidR="0013074D" w:rsidRPr="0013074D" w:rsidRDefault="0013074D" w:rsidP="0013074D">
      <w:pPr>
        <w:spacing w:after="120"/>
        <w:ind w:firstLine="720"/>
        <w:jc w:val="both"/>
        <w:rPr>
          <w:rFonts w:ascii="Arial" w:hAnsi="Arial" w:cs="Arial"/>
          <w:i/>
          <w:sz w:val="20"/>
          <w:szCs w:val="20"/>
          <w:lang w:val="nl-NL"/>
        </w:rPr>
      </w:pPr>
      <w:r w:rsidRPr="0013074D">
        <w:rPr>
          <w:rFonts w:ascii="Arial" w:hAnsi="Arial" w:cs="Arial"/>
          <w:bCs/>
          <w:i/>
          <w:sz w:val="20"/>
          <w:szCs w:val="20"/>
          <w:lang w:val="nl-NL"/>
        </w:rPr>
        <w:t xml:space="preserve">Bộ trưởng Bộ Tài chính ban hành Thông tư quy định mức thu, chế độ </w:t>
      </w:r>
      <w:r w:rsidRPr="0013074D">
        <w:rPr>
          <w:rFonts w:ascii="Arial" w:hAnsi="Arial" w:cs="Arial"/>
          <w:i/>
          <w:sz w:val="20"/>
          <w:szCs w:val="20"/>
          <w:lang w:val="nl-NL"/>
        </w:rPr>
        <w:t xml:space="preserve">thu, nộp, quản lý và  </w:t>
      </w:r>
      <w:r w:rsidRPr="0013074D">
        <w:rPr>
          <w:rFonts w:ascii="Arial" w:hAnsi="Arial" w:cs="Arial"/>
          <w:bCs/>
          <w:i/>
          <w:sz w:val="20"/>
          <w:szCs w:val="20"/>
          <w:lang w:val="nl-NL"/>
        </w:rPr>
        <w:t>sử dụng</w:t>
      </w:r>
      <w:r w:rsidRPr="0013074D">
        <w:rPr>
          <w:rFonts w:ascii="Arial" w:hAnsi="Arial" w:cs="Arial"/>
          <w:i/>
          <w:sz w:val="20"/>
          <w:szCs w:val="20"/>
          <w:lang w:val="nl-NL"/>
        </w:rPr>
        <w:t xml:space="preserve"> lệ phí Chứng minh nhân dân mới, như sau:</w:t>
      </w:r>
    </w:p>
    <w:p w:rsidR="0013074D" w:rsidRPr="0013074D" w:rsidRDefault="0013074D" w:rsidP="0013074D">
      <w:pPr>
        <w:spacing w:after="120"/>
        <w:ind w:firstLine="720"/>
        <w:jc w:val="both"/>
        <w:rPr>
          <w:rFonts w:ascii="Arial" w:hAnsi="Arial" w:cs="Arial"/>
          <w:b/>
          <w:bCs/>
          <w:iCs/>
          <w:sz w:val="20"/>
          <w:szCs w:val="20"/>
          <w:lang w:val="nl-NL"/>
        </w:rPr>
      </w:pPr>
      <w:r w:rsidRPr="0013074D">
        <w:rPr>
          <w:rFonts w:ascii="Arial" w:hAnsi="Arial" w:cs="Arial"/>
          <w:b/>
          <w:bCs/>
          <w:color w:val="000000"/>
          <w:sz w:val="20"/>
          <w:szCs w:val="20"/>
          <w:lang w:val="nl-NL"/>
        </w:rPr>
        <w:t xml:space="preserve">Điều 1. </w:t>
      </w:r>
      <w:r w:rsidRPr="0013074D">
        <w:rPr>
          <w:rFonts w:ascii="Arial" w:hAnsi="Arial" w:cs="Arial"/>
          <w:b/>
          <w:bCs/>
          <w:iCs/>
          <w:sz w:val="20"/>
          <w:szCs w:val="20"/>
          <w:lang w:val="nl-NL"/>
        </w:rPr>
        <w:t>Phạm vi và đối tượng áp dụng</w:t>
      </w:r>
    </w:p>
    <w:p w:rsidR="0013074D" w:rsidRPr="0013074D" w:rsidRDefault="0013074D" w:rsidP="0013074D">
      <w:pPr>
        <w:widowControl w:val="0"/>
        <w:spacing w:after="120"/>
        <w:ind w:firstLine="720"/>
        <w:jc w:val="both"/>
        <w:rPr>
          <w:rFonts w:ascii="Arial" w:hAnsi="Arial" w:cs="Arial"/>
          <w:bCs/>
          <w:color w:val="000000"/>
          <w:sz w:val="20"/>
          <w:szCs w:val="20"/>
          <w:lang w:val="nl-NL"/>
        </w:rPr>
      </w:pPr>
      <w:r w:rsidRPr="0013074D">
        <w:rPr>
          <w:rFonts w:ascii="Arial" w:hAnsi="Arial" w:cs="Arial"/>
          <w:bCs/>
          <w:iCs/>
          <w:sz w:val="20"/>
          <w:szCs w:val="20"/>
          <w:lang w:val="nl-NL"/>
        </w:rPr>
        <w:t>1</w:t>
      </w:r>
      <w:r w:rsidRPr="0013074D">
        <w:rPr>
          <w:rFonts w:ascii="Arial" w:hAnsi="Arial" w:cs="Arial"/>
          <w:bCs/>
          <w:color w:val="000000"/>
          <w:sz w:val="20"/>
          <w:szCs w:val="20"/>
          <w:lang w:val="nl-NL"/>
        </w:rPr>
        <w:t xml:space="preserve">. Thông tư này quy định về mức thu, chế độ thu, nộp và quản lý sử dụng lệ phí Chứng minh nhân dân mới theo quy định tại </w:t>
      </w:r>
      <w:r w:rsidRPr="0013074D">
        <w:rPr>
          <w:rFonts w:ascii="Arial" w:hAnsi="Arial" w:cs="Arial"/>
          <w:sz w:val="20"/>
          <w:szCs w:val="20"/>
          <w:lang w:val="nl-NL"/>
        </w:rPr>
        <w:t>Quyết định số 446/QĐ-TTg ngày 11/5/2004 của Thủ tướng Chính phủ</w:t>
      </w:r>
      <w:r w:rsidRPr="0013074D">
        <w:rPr>
          <w:rFonts w:ascii="Arial" w:hAnsi="Arial" w:cs="Arial"/>
          <w:bCs/>
          <w:color w:val="000000"/>
          <w:sz w:val="20"/>
          <w:szCs w:val="20"/>
          <w:lang w:val="nl-NL"/>
        </w:rPr>
        <w:t>.</w:t>
      </w:r>
    </w:p>
    <w:p w:rsidR="0013074D" w:rsidRPr="0013074D" w:rsidRDefault="0013074D" w:rsidP="0013074D">
      <w:pPr>
        <w:widowControl w:val="0"/>
        <w:spacing w:after="120"/>
        <w:ind w:firstLine="720"/>
        <w:jc w:val="both"/>
        <w:rPr>
          <w:rFonts w:ascii="Arial" w:hAnsi="Arial" w:cs="Arial"/>
          <w:bCs/>
          <w:color w:val="000000"/>
          <w:sz w:val="20"/>
          <w:szCs w:val="20"/>
          <w:lang w:val="nl-NL"/>
        </w:rPr>
      </w:pPr>
      <w:r w:rsidRPr="0013074D">
        <w:rPr>
          <w:rFonts w:ascii="Arial" w:hAnsi="Arial" w:cs="Arial"/>
          <w:bCs/>
          <w:color w:val="000000"/>
          <w:sz w:val="20"/>
          <w:szCs w:val="20"/>
          <w:lang w:val="nl-NL"/>
        </w:rPr>
        <w:t>2. Công dân Việt Nam từ đủ 14 tuổi trở lên làm thủ tục cấp mới, cấp đổi, cấp lại Chứng minh nhân dân mới, phải nộp lệ phí theo quy định tại Thông tư này.</w:t>
      </w:r>
    </w:p>
    <w:p w:rsidR="0013074D" w:rsidRPr="0013074D" w:rsidRDefault="0013074D" w:rsidP="0013074D">
      <w:pPr>
        <w:widowControl w:val="0"/>
        <w:spacing w:after="120"/>
        <w:ind w:firstLine="720"/>
        <w:jc w:val="both"/>
        <w:rPr>
          <w:rFonts w:ascii="Arial" w:hAnsi="Arial" w:cs="Arial"/>
          <w:bCs/>
          <w:color w:val="000000"/>
          <w:sz w:val="20"/>
          <w:szCs w:val="20"/>
          <w:lang w:val="nl-NL"/>
        </w:rPr>
      </w:pPr>
      <w:r w:rsidRPr="0013074D">
        <w:rPr>
          <w:rFonts w:ascii="Arial" w:hAnsi="Arial" w:cs="Arial"/>
          <w:bCs/>
          <w:color w:val="000000"/>
          <w:sz w:val="20"/>
          <w:szCs w:val="20"/>
          <w:lang w:val="nl-NL"/>
        </w:rPr>
        <w:t xml:space="preserve">3. Các trường hợp không phải nộp lệ phí </w:t>
      </w:r>
    </w:p>
    <w:p w:rsidR="0013074D" w:rsidRPr="0013074D" w:rsidRDefault="0013074D" w:rsidP="0013074D">
      <w:pPr>
        <w:widowControl w:val="0"/>
        <w:spacing w:after="120"/>
        <w:ind w:firstLine="720"/>
        <w:jc w:val="both"/>
        <w:rPr>
          <w:rFonts w:ascii="Arial" w:hAnsi="Arial" w:cs="Arial"/>
          <w:bCs/>
          <w:color w:val="000000"/>
          <w:sz w:val="20"/>
          <w:szCs w:val="20"/>
          <w:lang w:val="nl-NL"/>
        </w:rPr>
      </w:pPr>
      <w:r w:rsidRPr="0013074D">
        <w:rPr>
          <w:rFonts w:ascii="Arial" w:hAnsi="Arial" w:cs="Arial"/>
          <w:bCs/>
          <w:color w:val="000000"/>
          <w:sz w:val="20"/>
          <w:szCs w:val="20"/>
          <w:lang w:val="nl-NL"/>
        </w:rPr>
        <w:t>a) Công dân là bố, mẹ, vợ, chồng, con dưới 18 tuổi của liệt sỹ; thương binh, người hưởng chính sách như thương binh; con dưới 18 tuổi của thương binh và người hưởng chính sách như thương binh; bệnh binh; công dân thuộc các xã, thị trấn vùng cao theo quy định của Uỷ ban dân tộc; công dân thuộc hộ nghèo theo quy định của pháp luật;</w:t>
      </w:r>
    </w:p>
    <w:p w:rsidR="0013074D" w:rsidRPr="0013074D" w:rsidRDefault="0013074D" w:rsidP="0013074D">
      <w:pPr>
        <w:spacing w:after="120"/>
        <w:ind w:firstLine="720"/>
        <w:jc w:val="both"/>
        <w:rPr>
          <w:rFonts w:ascii="Arial" w:hAnsi="Arial" w:cs="Arial"/>
          <w:color w:val="444444"/>
          <w:sz w:val="20"/>
          <w:szCs w:val="20"/>
          <w:lang w:val="nl-NL"/>
        </w:rPr>
      </w:pPr>
      <w:r w:rsidRPr="0013074D">
        <w:rPr>
          <w:rFonts w:ascii="Arial" w:hAnsi="Arial" w:cs="Arial"/>
          <w:color w:val="444444"/>
          <w:sz w:val="20"/>
          <w:szCs w:val="20"/>
          <w:lang w:val="nl-NL"/>
        </w:rPr>
        <w:t>b) C</w:t>
      </w:r>
      <w:r w:rsidRPr="0013074D">
        <w:rPr>
          <w:rFonts w:ascii="Arial" w:hAnsi="Arial" w:cs="Arial"/>
          <w:sz w:val="20"/>
          <w:szCs w:val="20"/>
          <w:lang w:val="nl-NL"/>
        </w:rPr>
        <w:t>ông dân dưới 18 tuổi, mồ côi cả cha lẫn mẹ, không nơi nương tựa;</w:t>
      </w:r>
    </w:p>
    <w:p w:rsidR="0013074D" w:rsidRPr="0013074D" w:rsidRDefault="0013074D" w:rsidP="0013074D">
      <w:pPr>
        <w:widowControl w:val="0"/>
        <w:spacing w:after="120"/>
        <w:ind w:firstLine="720"/>
        <w:jc w:val="both"/>
        <w:rPr>
          <w:rFonts w:ascii="Arial" w:hAnsi="Arial" w:cs="Arial"/>
          <w:sz w:val="20"/>
          <w:szCs w:val="20"/>
          <w:lang w:val="nl-NL"/>
        </w:rPr>
      </w:pPr>
      <w:r w:rsidRPr="0013074D">
        <w:rPr>
          <w:rFonts w:ascii="Arial" w:hAnsi="Arial" w:cs="Arial"/>
          <w:bCs/>
          <w:color w:val="000000"/>
          <w:sz w:val="20"/>
          <w:szCs w:val="20"/>
          <w:lang w:val="nl-NL"/>
        </w:rPr>
        <w:t xml:space="preserve">c) Trường hợp </w:t>
      </w:r>
      <w:r w:rsidRPr="0013074D">
        <w:rPr>
          <w:rFonts w:ascii="Arial" w:hAnsi="Arial" w:cs="Arial"/>
          <w:sz w:val="20"/>
          <w:szCs w:val="20"/>
          <w:lang w:val="nl-NL"/>
        </w:rPr>
        <w:t>cấp đổi Chứng minh nhân dân mới do Nhà nước quy định thay đổi địa giới hành chính.</w:t>
      </w:r>
    </w:p>
    <w:p w:rsidR="0013074D" w:rsidRPr="0013074D" w:rsidRDefault="0013074D" w:rsidP="0013074D">
      <w:pPr>
        <w:widowControl w:val="0"/>
        <w:spacing w:after="120"/>
        <w:ind w:firstLine="720"/>
        <w:jc w:val="both"/>
        <w:rPr>
          <w:rFonts w:ascii="Arial" w:hAnsi="Arial" w:cs="Arial"/>
          <w:b/>
          <w:bCs/>
          <w:color w:val="000000"/>
          <w:sz w:val="20"/>
          <w:szCs w:val="20"/>
          <w:lang w:val="nl-NL"/>
        </w:rPr>
      </w:pPr>
      <w:r w:rsidRPr="0013074D">
        <w:rPr>
          <w:rFonts w:ascii="Arial" w:hAnsi="Arial" w:cs="Arial"/>
          <w:b/>
          <w:bCs/>
          <w:color w:val="000000"/>
          <w:sz w:val="20"/>
          <w:szCs w:val="20"/>
          <w:lang w:val="nl-NL"/>
        </w:rPr>
        <w:t>Điều 2.</w:t>
      </w:r>
      <w:r w:rsidRPr="0013074D">
        <w:rPr>
          <w:rFonts w:ascii="Arial" w:hAnsi="Arial" w:cs="Arial"/>
          <w:bCs/>
          <w:color w:val="000000"/>
          <w:sz w:val="20"/>
          <w:szCs w:val="20"/>
          <w:lang w:val="nl-NL"/>
        </w:rPr>
        <w:t xml:space="preserve"> </w:t>
      </w:r>
      <w:r w:rsidRPr="0013074D">
        <w:rPr>
          <w:rFonts w:ascii="Arial" w:hAnsi="Arial" w:cs="Arial"/>
          <w:b/>
          <w:bCs/>
          <w:color w:val="000000"/>
          <w:sz w:val="20"/>
          <w:szCs w:val="20"/>
          <w:lang w:val="nl-NL"/>
        </w:rPr>
        <w:t xml:space="preserve">Mức thu lệ phí </w:t>
      </w:r>
    </w:p>
    <w:p w:rsidR="0013074D" w:rsidRPr="0013074D" w:rsidRDefault="0013074D" w:rsidP="0013074D">
      <w:pPr>
        <w:widowControl w:val="0"/>
        <w:ind w:firstLine="720"/>
        <w:jc w:val="right"/>
        <w:rPr>
          <w:rFonts w:ascii="Arial" w:hAnsi="Arial" w:cs="Arial"/>
          <w:bCs/>
          <w:i/>
          <w:color w:val="000000"/>
          <w:sz w:val="20"/>
          <w:szCs w:val="20"/>
          <w:lang w:val="nl-NL"/>
        </w:rPr>
      </w:pPr>
      <w:r w:rsidRPr="0013074D">
        <w:rPr>
          <w:rFonts w:ascii="Arial" w:hAnsi="Arial" w:cs="Arial"/>
          <w:b/>
          <w:bCs/>
          <w:color w:val="000000"/>
          <w:sz w:val="20"/>
          <w:szCs w:val="20"/>
          <w:lang w:val="nl-NL"/>
        </w:rPr>
        <w:t xml:space="preserve">  </w:t>
      </w:r>
      <w:r w:rsidRPr="0013074D">
        <w:rPr>
          <w:rFonts w:ascii="Arial" w:hAnsi="Arial" w:cs="Arial"/>
          <w:bCs/>
          <w:i/>
          <w:color w:val="000000"/>
          <w:sz w:val="20"/>
          <w:szCs w:val="20"/>
          <w:lang w:val="nl-NL"/>
        </w:rPr>
        <w:t>Đơn vị tính: Đồng/CMND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2"/>
        <w:gridCol w:w="4047"/>
        <w:gridCol w:w="1404"/>
        <w:gridCol w:w="1404"/>
        <w:gridCol w:w="1404"/>
      </w:tblGrid>
      <w:tr w:rsidR="0013074D" w:rsidRPr="0013074D" w:rsidTr="00506763">
        <w:trPr>
          <w:trHeight w:val="755"/>
        </w:trPr>
        <w:tc>
          <w:tcPr>
            <w:tcW w:w="732" w:type="dxa"/>
            <w:vAlign w:val="center"/>
          </w:tcPr>
          <w:p w:rsidR="0013074D" w:rsidRPr="0013074D" w:rsidRDefault="0013074D" w:rsidP="0013074D">
            <w:pPr>
              <w:widowControl w:val="0"/>
              <w:jc w:val="center"/>
              <w:rPr>
                <w:rFonts w:ascii="Arial" w:hAnsi="Arial" w:cs="Arial"/>
                <w:b/>
                <w:color w:val="000000"/>
                <w:sz w:val="20"/>
                <w:szCs w:val="20"/>
                <w:lang w:val="nl-NL"/>
              </w:rPr>
            </w:pPr>
            <w:r w:rsidRPr="0013074D">
              <w:rPr>
                <w:rFonts w:ascii="Arial" w:hAnsi="Arial" w:cs="Arial"/>
                <w:b/>
                <w:color w:val="000000"/>
                <w:sz w:val="20"/>
                <w:szCs w:val="20"/>
                <w:lang w:val="nl-NL"/>
              </w:rPr>
              <w:t>Số TT</w:t>
            </w:r>
          </w:p>
        </w:tc>
        <w:tc>
          <w:tcPr>
            <w:tcW w:w="4047" w:type="dxa"/>
            <w:vAlign w:val="center"/>
          </w:tcPr>
          <w:p w:rsidR="0013074D" w:rsidRPr="0013074D" w:rsidRDefault="0013074D" w:rsidP="0013074D">
            <w:pPr>
              <w:widowControl w:val="0"/>
              <w:jc w:val="center"/>
              <w:rPr>
                <w:rFonts w:ascii="Arial" w:hAnsi="Arial" w:cs="Arial"/>
                <w:b/>
                <w:color w:val="000000"/>
                <w:sz w:val="20"/>
                <w:szCs w:val="20"/>
                <w:lang w:val="nl-NL"/>
              </w:rPr>
            </w:pPr>
            <w:r w:rsidRPr="0013074D">
              <w:rPr>
                <w:rFonts w:ascii="Arial" w:hAnsi="Arial" w:cs="Arial"/>
                <w:b/>
                <w:color w:val="000000"/>
                <w:sz w:val="20"/>
                <w:szCs w:val="20"/>
                <w:lang w:val="nl-NL"/>
              </w:rPr>
              <w:t>Các trường hợp</w:t>
            </w:r>
          </w:p>
        </w:tc>
        <w:tc>
          <w:tcPr>
            <w:tcW w:w="1404" w:type="dxa"/>
            <w:vAlign w:val="center"/>
          </w:tcPr>
          <w:p w:rsidR="0013074D" w:rsidRPr="0013074D" w:rsidRDefault="0013074D" w:rsidP="0013074D">
            <w:pPr>
              <w:widowControl w:val="0"/>
              <w:jc w:val="center"/>
              <w:rPr>
                <w:rFonts w:ascii="Arial" w:hAnsi="Arial" w:cs="Arial"/>
                <w:b/>
                <w:color w:val="000000"/>
                <w:sz w:val="20"/>
                <w:szCs w:val="20"/>
                <w:lang w:val="nl-NL"/>
              </w:rPr>
            </w:pPr>
            <w:r w:rsidRPr="0013074D">
              <w:rPr>
                <w:rFonts w:ascii="Arial" w:hAnsi="Arial" w:cs="Arial"/>
                <w:b/>
                <w:color w:val="000000"/>
                <w:sz w:val="20"/>
                <w:szCs w:val="20"/>
                <w:lang w:val="nl-NL"/>
              </w:rPr>
              <w:t xml:space="preserve">Cấp mới </w:t>
            </w:r>
          </w:p>
        </w:tc>
        <w:tc>
          <w:tcPr>
            <w:tcW w:w="1404" w:type="dxa"/>
            <w:vAlign w:val="center"/>
          </w:tcPr>
          <w:p w:rsidR="0013074D" w:rsidRPr="0013074D" w:rsidRDefault="0013074D" w:rsidP="0013074D">
            <w:pPr>
              <w:widowControl w:val="0"/>
              <w:jc w:val="center"/>
              <w:rPr>
                <w:rFonts w:ascii="Arial" w:hAnsi="Arial" w:cs="Arial"/>
                <w:b/>
                <w:color w:val="000000"/>
                <w:sz w:val="20"/>
                <w:szCs w:val="20"/>
                <w:lang w:val="nl-NL"/>
              </w:rPr>
            </w:pPr>
            <w:r w:rsidRPr="0013074D">
              <w:rPr>
                <w:rFonts w:ascii="Arial" w:hAnsi="Arial" w:cs="Arial"/>
                <w:b/>
                <w:color w:val="000000"/>
                <w:sz w:val="20"/>
                <w:szCs w:val="20"/>
                <w:lang w:val="nl-NL"/>
              </w:rPr>
              <w:t>Cấp đổi</w:t>
            </w:r>
          </w:p>
        </w:tc>
        <w:tc>
          <w:tcPr>
            <w:tcW w:w="1404" w:type="dxa"/>
            <w:vAlign w:val="center"/>
          </w:tcPr>
          <w:p w:rsidR="0013074D" w:rsidRPr="0013074D" w:rsidRDefault="0013074D" w:rsidP="0013074D">
            <w:pPr>
              <w:widowControl w:val="0"/>
              <w:jc w:val="center"/>
              <w:rPr>
                <w:rFonts w:ascii="Arial" w:hAnsi="Arial" w:cs="Arial"/>
                <w:b/>
                <w:color w:val="000000"/>
                <w:sz w:val="20"/>
                <w:szCs w:val="20"/>
                <w:lang w:val="nl-NL"/>
              </w:rPr>
            </w:pPr>
            <w:r w:rsidRPr="0013074D">
              <w:rPr>
                <w:rFonts w:ascii="Arial" w:hAnsi="Arial" w:cs="Arial"/>
                <w:b/>
                <w:color w:val="000000"/>
                <w:sz w:val="20"/>
                <w:szCs w:val="20"/>
                <w:lang w:val="nl-NL"/>
              </w:rPr>
              <w:t>Cấp lại</w:t>
            </w:r>
          </w:p>
        </w:tc>
      </w:tr>
      <w:tr w:rsidR="0013074D" w:rsidRPr="0013074D" w:rsidTr="00506763">
        <w:tc>
          <w:tcPr>
            <w:tcW w:w="732" w:type="dxa"/>
          </w:tcPr>
          <w:p w:rsidR="0013074D" w:rsidRPr="0013074D" w:rsidRDefault="0013074D" w:rsidP="0013074D">
            <w:pPr>
              <w:widowControl w:val="0"/>
              <w:jc w:val="center"/>
              <w:rPr>
                <w:rFonts w:ascii="Arial" w:hAnsi="Arial" w:cs="Arial"/>
                <w:bCs/>
                <w:color w:val="000000"/>
                <w:sz w:val="20"/>
                <w:szCs w:val="20"/>
              </w:rPr>
            </w:pPr>
            <w:r w:rsidRPr="0013074D">
              <w:rPr>
                <w:rFonts w:ascii="Arial" w:hAnsi="Arial" w:cs="Arial"/>
                <w:bCs/>
                <w:color w:val="000000"/>
                <w:sz w:val="20"/>
                <w:szCs w:val="20"/>
              </w:rPr>
              <w:t>1</w:t>
            </w:r>
          </w:p>
        </w:tc>
        <w:tc>
          <w:tcPr>
            <w:tcW w:w="4047" w:type="dxa"/>
          </w:tcPr>
          <w:p w:rsidR="0013074D" w:rsidRPr="0013074D" w:rsidRDefault="0013074D" w:rsidP="0013074D">
            <w:pPr>
              <w:widowControl w:val="0"/>
              <w:ind w:left="-121" w:firstLine="121"/>
              <w:jc w:val="both"/>
              <w:rPr>
                <w:rFonts w:ascii="Arial" w:hAnsi="Arial" w:cs="Arial"/>
                <w:bCs/>
                <w:color w:val="000000"/>
                <w:sz w:val="20"/>
                <w:szCs w:val="20"/>
              </w:rPr>
            </w:pPr>
            <w:r w:rsidRPr="0013074D">
              <w:rPr>
                <w:rFonts w:ascii="Arial" w:hAnsi="Arial" w:cs="Arial"/>
                <w:bCs/>
                <w:color w:val="000000"/>
                <w:sz w:val="20"/>
                <w:szCs w:val="20"/>
              </w:rPr>
              <w:t xml:space="preserve">Thu nhận ảnh trực tiếp (ảnh thu qua </w:t>
            </w:r>
            <w:r w:rsidRPr="0013074D">
              <w:rPr>
                <w:rFonts w:ascii="Arial" w:hAnsi="Arial" w:cs="Arial"/>
                <w:bCs/>
                <w:color w:val="000000"/>
                <w:sz w:val="20"/>
                <w:szCs w:val="20"/>
              </w:rPr>
              <w:lastRenderedPageBreak/>
              <w:t>camera)</w:t>
            </w:r>
          </w:p>
        </w:tc>
        <w:tc>
          <w:tcPr>
            <w:tcW w:w="1404" w:type="dxa"/>
          </w:tcPr>
          <w:p w:rsidR="0013074D" w:rsidRPr="0013074D" w:rsidRDefault="0013074D" w:rsidP="0013074D">
            <w:pPr>
              <w:widowControl w:val="0"/>
              <w:jc w:val="center"/>
              <w:rPr>
                <w:rFonts w:ascii="Arial" w:hAnsi="Arial" w:cs="Arial"/>
                <w:bCs/>
                <w:color w:val="000000"/>
                <w:sz w:val="20"/>
                <w:szCs w:val="20"/>
                <w:lang w:val="nl-NL"/>
              </w:rPr>
            </w:pPr>
            <w:r w:rsidRPr="0013074D">
              <w:rPr>
                <w:rFonts w:ascii="Arial" w:hAnsi="Arial" w:cs="Arial"/>
                <w:bCs/>
                <w:color w:val="000000"/>
                <w:sz w:val="20"/>
                <w:szCs w:val="20"/>
                <w:lang w:val="nl-NL"/>
              </w:rPr>
              <w:lastRenderedPageBreak/>
              <w:t>30.000</w:t>
            </w:r>
          </w:p>
        </w:tc>
        <w:tc>
          <w:tcPr>
            <w:tcW w:w="1404" w:type="dxa"/>
          </w:tcPr>
          <w:p w:rsidR="0013074D" w:rsidRPr="0013074D" w:rsidRDefault="0013074D" w:rsidP="0013074D">
            <w:pPr>
              <w:widowControl w:val="0"/>
              <w:jc w:val="center"/>
              <w:rPr>
                <w:rFonts w:ascii="Arial" w:hAnsi="Arial" w:cs="Arial"/>
                <w:bCs/>
                <w:color w:val="000000"/>
                <w:sz w:val="20"/>
                <w:szCs w:val="20"/>
                <w:lang w:val="nl-NL"/>
              </w:rPr>
            </w:pPr>
            <w:r w:rsidRPr="0013074D">
              <w:rPr>
                <w:rFonts w:ascii="Arial" w:hAnsi="Arial" w:cs="Arial"/>
                <w:bCs/>
                <w:color w:val="000000"/>
                <w:sz w:val="20"/>
                <w:szCs w:val="20"/>
                <w:lang w:val="nl-NL"/>
              </w:rPr>
              <w:t>50.000</w:t>
            </w:r>
          </w:p>
        </w:tc>
        <w:tc>
          <w:tcPr>
            <w:tcW w:w="1404" w:type="dxa"/>
          </w:tcPr>
          <w:p w:rsidR="0013074D" w:rsidRPr="0013074D" w:rsidRDefault="0013074D" w:rsidP="0013074D">
            <w:pPr>
              <w:widowControl w:val="0"/>
              <w:jc w:val="center"/>
              <w:rPr>
                <w:rFonts w:ascii="Arial" w:hAnsi="Arial" w:cs="Arial"/>
                <w:bCs/>
                <w:color w:val="000000"/>
                <w:sz w:val="20"/>
                <w:szCs w:val="20"/>
                <w:lang w:val="nl-NL"/>
              </w:rPr>
            </w:pPr>
            <w:r w:rsidRPr="0013074D">
              <w:rPr>
                <w:rFonts w:ascii="Arial" w:hAnsi="Arial" w:cs="Arial"/>
                <w:bCs/>
                <w:color w:val="000000"/>
                <w:sz w:val="20"/>
                <w:szCs w:val="20"/>
                <w:lang w:val="nl-NL"/>
              </w:rPr>
              <w:t>70.000</w:t>
            </w:r>
          </w:p>
        </w:tc>
      </w:tr>
      <w:tr w:rsidR="0013074D" w:rsidRPr="0013074D" w:rsidTr="00506763">
        <w:tc>
          <w:tcPr>
            <w:tcW w:w="732" w:type="dxa"/>
          </w:tcPr>
          <w:p w:rsidR="0013074D" w:rsidRPr="0013074D" w:rsidRDefault="0013074D" w:rsidP="0013074D">
            <w:pPr>
              <w:widowControl w:val="0"/>
              <w:jc w:val="center"/>
              <w:rPr>
                <w:rFonts w:ascii="Arial" w:hAnsi="Arial" w:cs="Arial"/>
                <w:bCs/>
                <w:color w:val="000000"/>
                <w:sz w:val="20"/>
                <w:szCs w:val="20"/>
              </w:rPr>
            </w:pPr>
            <w:r w:rsidRPr="0013074D">
              <w:rPr>
                <w:rFonts w:ascii="Arial" w:hAnsi="Arial" w:cs="Arial"/>
                <w:bCs/>
                <w:color w:val="000000"/>
                <w:sz w:val="20"/>
                <w:szCs w:val="20"/>
              </w:rPr>
              <w:lastRenderedPageBreak/>
              <w:t>2</w:t>
            </w:r>
          </w:p>
        </w:tc>
        <w:tc>
          <w:tcPr>
            <w:tcW w:w="4047" w:type="dxa"/>
          </w:tcPr>
          <w:p w:rsidR="0013074D" w:rsidRPr="0013074D" w:rsidRDefault="0013074D" w:rsidP="0013074D">
            <w:pPr>
              <w:widowControl w:val="0"/>
              <w:ind w:left="-121" w:firstLine="121"/>
              <w:jc w:val="both"/>
              <w:rPr>
                <w:rFonts w:ascii="Arial" w:hAnsi="Arial" w:cs="Arial"/>
                <w:bCs/>
                <w:color w:val="000000"/>
                <w:sz w:val="20"/>
                <w:szCs w:val="20"/>
              </w:rPr>
            </w:pPr>
            <w:r w:rsidRPr="0013074D">
              <w:rPr>
                <w:rFonts w:ascii="Arial" w:hAnsi="Arial" w:cs="Arial"/>
                <w:bCs/>
                <w:color w:val="000000"/>
                <w:sz w:val="20"/>
                <w:szCs w:val="20"/>
              </w:rPr>
              <w:t>Thu nhận ảnh gián tiếp (chưa tính tiền chụp ảnh)</w:t>
            </w:r>
          </w:p>
        </w:tc>
        <w:tc>
          <w:tcPr>
            <w:tcW w:w="1404" w:type="dxa"/>
          </w:tcPr>
          <w:p w:rsidR="0013074D" w:rsidRPr="0013074D" w:rsidRDefault="0013074D" w:rsidP="0013074D">
            <w:pPr>
              <w:widowControl w:val="0"/>
              <w:jc w:val="center"/>
              <w:rPr>
                <w:rFonts w:ascii="Arial" w:hAnsi="Arial" w:cs="Arial"/>
                <w:bCs/>
                <w:color w:val="000000"/>
                <w:sz w:val="20"/>
                <w:szCs w:val="20"/>
                <w:lang w:val="nl-NL"/>
              </w:rPr>
            </w:pPr>
            <w:r w:rsidRPr="0013074D">
              <w:rPr>
                <w:rFonts w:ascii="Arial" w:hAnsi="Arial" w:cs="Arial"/>
                <w:bCs/>
                <w:color w:val="000000"/>
                <w:sz w:val="20"/>
                <w:szCs w:val="20"/>
                <w:lang w:val="nl-NL"/>
              </w:rPr>
              <w:t>20.000</w:t>
            </w:r>
          </w:p>
        </w:tc>
        <w:tc>
          <w:tcPr>
            <w:tcW w:w="1404" w:type="dxa"/>
          </w:tcPr>
          <w:p w:rsidR="0013074D" w:rsidRPr="0013074D" w:rsidRDefault="0013074D" w:rsidP="0013074D">
            <w:pPr>
              <w:widowControl w:val="0"/>
              <w:jc w:val="center"/>
              <w:rPr>
                <w:rFonts w:ascii="Arial" w:hAnsi="Arial" w:cs="Arial"/>
                <w:bCs/>
                <w:color w:val="000000"/>
                <w:sz w:val="20"/>
                <w:szCs w:val="20"/>
                <w:lang w:val="nl-NL"/>
              </w:rPr>
            </w:pPr>
            <w:r w:rsidRPr="0013074D">
              <w:rPr>
                <w:rFonts w:ascii="Arial" w:hAnsi="Arial" w:cs="Arial"/>
                <w:bCs/>
                <w:color w:val="000000"/>
                <w:sz w:val="20"/>
                <w:szCs w:val="20"/>
                <w:lang w:val="nl-NL"/>
              </w:rPr>
              <w:t>40.000</w:t>
            </w:r>
          </w:p>
        </w:tc>
        <w:tc>
          <w:tcPr>
            <w:tcW w:w="1404" w:type="dxa"/>
          </w:tcPr>
          <w:p w:rsidR="0013074D" w:rsidRPr="0013074D" w:rsidRDefault="0013074D" w:rsidP="0013074D">
            <w:pPr>
              <w:widowControl w:val="0"/>
              <w:jc w:val="center"/>
              <w:rPr>
                <w:rFonts w:ascii="Arial" w:hAnsi="Arial" w:cs="Arial"/>
                <w:bCs/>
                <w:color w:val="000000"/>
                <w:sz w:val="20"/>
                <w:szCs w:val="20"/>
                <w:lang w:val="nl-NL"/>
              </w:rPr>
            </w:pPr>
            <w:r w:rsidRPr="0013074D">
              <w:rPr>
                <w:rFonts w:ascii="Arial" w:hAnsi="Arial" w:cs="Arial"/>
                <w:bCs/>
                <w:color w:val="000000"/>
                <w:sz w:val="20"/>
                <w:szCs w:val="20"/>
                <w:lang w:val="nl-NL"/>
              </w:rPr>
              <w:t>60.000</w:t>
            </w:r>
          </w:p>
        </w:tc>
      </w:tr>
    </w:tbl>
    <w:p w:rsidR="0013074D" w:rsidRDefault="0013074D" w:rsidP="0013074D">
      <w:pPr>
        <w:widowControl w:val="0"/>
        <w:ind w:firstLine="720"/>
        <w:jc w:val="both"/>
        <w:rPr>
          <w:rFonts w:ascii="Arial" w:hAnsi="Arial" w:cs="Arial"/>
          <w:bCs/>
          <w:color w:val="000000"/>
          <w:sz w:val="20"/>
          <w:szCs w:val="20"/>
        </w:rPr>
      </w:pPr>
    </w:p>
    <w:p w:rsidR="0013074D" w:rsidRPr="0013074D" w:rsidRDefault="0013074D" w:rsidP="0013074D">
      <w:pPr>
        <w:widowControl w:val="0"/>
        <w:spacing w:after="120"/>
        <w:ind w:firstLine="720"/>
        <w:jc w:val="both"/>
        <w:rPr>
          <w:rFonts w:ascii="Arial" w:hAnsi="Arial" w:cs="Arial"/>
          <w:bCs/>
          <w:color w:val="000000"/>
          <w:sz w:val="20"/>
          <w:szCs w:val="20"/>
        </w:rPr>
      </w:pPr>
      <w:r w:rsidRPr="0013074D">
        <w:rPr>
          <w:rFonts w:ascii="Arial" w:hAnsi="Arial" w:cs="Arial"/>
          <w:bCs/>
          <w:color w:val="000000"/>
          <w:sz w:val="20"/>
          <w:szCs w:val="20"/>
        </w:rPr>
        <w:t>Công dân thường trú tại các xã, thị trấn miền núi; các xã biên giới; các huyện đảo nộp lệ phí Chứng minh nhân dân mới bằng 50% mức thu quy định tại Điều này.</w:t>
      </w:r>
    </w:p>
    <w:p w:rsidR="0013074D" w:rsidRPr="0013074D" w:rsidRDefault="0013074D" w:rsidP="0013074D">
      <w:pPr>
        <w:widowControl w:val="0"/>
        <w:spacing w:after="120"/>
        <w:ind w:firstLine="720"/>
        <w:jc w:val="both"/>
        <w:rPr>
          <w:rFonts w:ascii="Arial" w:hAnsi="Arial" w:cs="Arial"/>
          <w:b/>
          <w:sz w:val="20"/>
          <w:szCs w:val="20"/>
        </w:rPr>
      </w:pPr>
      <w:r w:rsidRPr="0013074D">
        <w:rPr>
          <w:rFonts w:ascii="Arial" w:hAnsi="Arial" w:cs="Arial"/>
          <w:b/>
          <w:sz w:val="20"/>
          <w:szCs w:val="20"/>
        </w:rPr>
        <w:t>Điều 3. Tổ chức thu, nộp, quản lý và sử dụng lệ phí</w:t>
      </w:r>
    </w:p>
    <w:p w:rsidR="0013074D" w:rsidRPr="0013074D" w:rsidRDefault="0013074D" w:rsidP="0013074D">
      <w:pPr>
        <w:widowControl w:val="0"/>
        <w:spacing w:after="120"/>
        <w:ind w:firstLine="720"/>
        <w:jc w:val="both"/>
        <w:rPr>
          <w:rFonts w:ascii="Arial" w:hAnsi="Arial" w:cs="Arial"/>
          <w:sz w:val="20"/>
          <w:szCs w:val="20"/>
        </w:rPr>
      </w:pPr>
      <w:r w:rsidRPr="0013074D">
        <w:rPr>
          <w:rFonts w:ascii="Arial" w:hAnsi="Arial" w:cs="Arial"/>
          <w:sz w:val="20"/>
          <w:szCs w:val="20"/>
        </w:rPr>
        <w:t xml:space="preserve">Lệ phí </w:t>
      </w:r>
      <w:r w:rsidRPr="0013074D">
        <w:rPr>
          <w:rFonts w:ascii="Arial" w:hAnsi="Arial" w:cs="Arial"/>
          <w:bCs/>
          <w:color w:val="000000"/>
          <w:sz w:val="20"/>
          <w:szCs w:val="20"/>
        </w:rPr>
        <w:t>Chứng minh nhân dân mới</w:t>
      </w:r>
      <w:r w:rsidRPr="0013074D">
        <w:rPr>
          <w:rFonts w:ascii="Arial" w:hAnsi="Arial" w:cs="Arial"/>
          <w:sz w:val="20"/>
          <w:szCs w:val="20"/>
        </w:rPr>
        <w:t xml:space="preserve"> là khoản thu thuộc ngân sách nhà nước, được quản lý và sử dụng như sau:</w:t>
      </w:r>
    </w:p>
    <w:p w:rsidR="0013074D" w:rsidRPr="0013074D" w:rsidRDefault="0013074D" w:rsidP="0013074D">
      <w:pPr>
        <w:spacing w:after="120"/>
        <w:ind w:firstLine="720"/>
        <w:jc w:val="both"/>
        <w:rPr>
          <w:rFonts w:ascii="Arial" w:hAnsi="Arial" w:cs="Arial"/>
          <w:sz w:val="20"/>
          <w:szCs w:val="20"/>
        </w:rPr>
      </w:pPr>
      <w:r w:rsidRPr="0013074D">
        <w:rPr>
          <w:rFonts w:ascii="Arial" w:hAnsi="Arial" w:cs="Arial"/>
          <w:sz w:val="20"/>
          <w:szCs w:val="20"/>
        </w:rPr>
        <w:t xml:space="preserve">1. Cơ quan thu lệ phí là cơ quan cấp </w:t>
      </w:r>
      <w:r w:rsidRPr="0013074D">
        <w:rPr>
          <w:rFonts w:ascii="Arial" w:hAnsi="Arial" w:cs="Arial"/>
          <w:bCs/>
          <w:color w:val="000000"/>
          <w:sz w:val="20"/>
          <w:szCs w:val="20"/>
        </w:rPr>
        <w:t>Chứng minh nhân dân mới</w:t>
      </w:r>
      <w:r w:rsidRPr="0013074D">
        <w:rPr>
          <w:rFonts w:ascii="Arial" w:hAnsi="Arial" w:cs="Arial"/>
          <w:sz w:val="20"/>
          <w:szCs w:val="20"/>
        </w:rPr>
        <w:t xml:space="preserve"> được trích để lại 30% số tiền lệ phí thu được để chi cho công việc thu lệ phí theo quy định. Số tiền trích để lại cho cơ quan thu lệ phí được xác định là 100% và phân bổ như sau:</w:t>
      </w:r>
    </w:p>
    <w:p w:rsidR="0013074D" w:rsidRPr="0013074D" w:rsidRDefault="0013074D" w:rsidP="0013074D">
      <w:pPr>
        <w:spacing w:after="120"/>
        <w:ind w:firstLine="720"/>
        <w:jc w:val="both"/>
        <w:rPr>
          <w:rFonts w:ascii="Arial" w:hAnsi="Arial" w:cs="Arial"/>
          <w:sz w:val="20"/>
          <w:szCs w:val="20"/>
        </w:rPr>
      </w:pPr>
      <w:r w:rsidRPr="0013074D">
        <w:rPr>
          <w:rFonts w:ascii="Arial" w:hAnsi="Arial" w:cs="Arial"/>
          <w:sz w:val="20"/>
          <w:szCs w:val="20"/>
        </w:rPr>
        <w:t xml:space="preserve">a) Cơ quan thu lệ phí được trích 85% phục vụ công tác cấp, quản lý và thu lệ phí </w:t>
      </w:r>
      <w:r w:rsidRPr="0013074D">
        <w:rPr>
          <w:rFonts w:ascii="Arial" w:hAnsi="Arial" w:cs="Arial"/>
          <w:bCs/>
          <w:color w:val="000000"/>
          <w:sz w:val="20"/>
          <w:szCs w:val="20"/>
        </w:rPr>
        <w:t>Chứng minh nhân dân mới</w:t>
      </w:r>
      <w:r w:rsidRPr="0013074D">
        <w:rPr>
          <w:rFonts w:ascii="Arial" w:hAnsi="Arial" w:cs="Arial"/>
          <w:sz w:val="20"/>
          <w:szCs w:val="20"/>
        </w:rPr>
        <w:t xml:space="preserve">. </w:t>
      </w:r>
    </w:p>
    <w:p w:rsidR="0013074D" w:rsidRPr="0013074D" w:rsidRDefault="0013074D" w:rsidP="0013074D">
      <w:pPr>
        <w:spacing w:after="120"/>
        <w:ind w:firstLine="720"/>
        <w:jc w:val="both"/>
        <w:rPr>
          <w:rFonts w:ascii="Arial" w:hAnsi="Arial" w:cs="Arial"/>
          <w:sz w:val="20"/>
          <w:szCs w:val="20"/>
        </w:rPr>
      </w:pPr>
      <w:r w:rsidRPr="0013074D">
        <w:rPr>
          <w:rFonts w:ascii="Arial" w:hAnsi="Arial" w:cs="Arial"/>
          <w:sz w:val="20"/>
          <w:szCs w:val="20"/>
        </w:rPr>
        <w:t xml:space="preserve">b) Cục Cảnh sát quản lý hành chính về trật tự xã hội trực thuộc Tổng cục Cảnh sát quản lý hành chính về trật tự an toàn xã hội được trích 15% để phục vụ việc quản trị, vận hành hệ thống các trung tâm dữ liệu </w:t>
      </w:r>
      <w:r w:rsidRPr="0013074D">
        <w:rPr>
          <w:rFonts w:ascii="Arial" w:hAnsi="Arial" w:cs="Arial"/>
          <w:bCs/>
          <w:color w:val="000000"/>
          <w:sz w:val="20"/>
          <w:szCs w:val="20"/>
        </w:rPr>
        <w:t>Chứng minh nhân dân mới</w:t>
      </w:r>
      <w:r w:rsidRPr="0013074D">
        <w:rPr>
          <w:rFonts w:ascii="Arial" w:hAnsi="Arial" w:cs="Arial"/>
          <w:sz w:val="20"/>
          <w:szCs w:val="20"/>
        </w:rPr>
        <w:t>.</w:t>
      </w:r>
    </w:p>
    <w:p w:rsidR="0013074D" w:rsidRPr="0013074D" w:rsidRDefault="0013074D" w:rsidP="0013074D">
      <w:pPr>
        <w:spacing w:after="120"/>
        <w:ind w:firstLine="720"/>
        <w:jc w:val="both"/>
        <w:rPr>
          <w:rFonts w:ascii="Arial" w:hAnsi="Arial" w:cs="Arial"/>
          <w:sz w:val="20"/>
          <w:szCs w:val="20"/>
        </w:rPr>
      </w:pPr>
      <w:r w:rsidRPr="0013074D">
        <w:rPr>
          <w:rFonts w:ascii="Arial" w:hAnsi="Arial" w:cs="Arial"/>
          <w:sz w:val="20"/>
          <w:szCs w:val="20"/>
        </w:rPr>
        <w:t>Phòng Cảnh sát quản lý hành chính về trật tự xã hội và Công an quận, huyện trực thuộc Công an tỉnh, thành phố trực thuộc Trung ương định kỳ hàng tháng hoặc hàng quý tính toán số tiền được trích để lại và tỷ lệ trích chuyển quy định tại Thông tư này, lập giấy uỷ nhiệm chi từ tài khoản tạm giữ tiền lệ phí để chuyển tiền cho đơn vị thụ hưởng. Kho bạc nhà nước căn cứ giấy uỷ nhiệm chi chuyển tiền về tài khoản tiền gửi của Cục Cảnh sát quản lý hành chính về trật tự xã hội trực thuộc Tổng cục Cảnh sát quản lý hành chính về trật tự an toàn xã hội.</w:t>
      </w:r>
    </w:p>
    <w:p w:rsidR="0013074D" w:rsidRPr="0013074D" w:rsidRDefault="0013074D" w:rsidP="0013074D">
      <w:pPr>
        <w:spacing w:after="120"/>
        <w:ind w:firstLine="720"/>
        <w:jc w:val="both"/>
        <w:rPr>
          <w:rFonts w:ascii="Arial" w:hAnsi="Arial" w:cs="Arial"/>
          <w:sz w:val="20"/>
          <w:szCs w:val="20"/>
        </w:rPr>
      </w:pPr>
      <w:r w:rsidRPr="0013074D">
        <w:rPr>
          <w:rFonts w:ascii="Arial" w:hAnsi="Arial" w:cs="Arial"/>
          <w:sz w:val="20"/>
          <w:szCs w:val="20"/>
        </w:rPr>
        <w:t xml:space="preserve">2. Số tiền còn lại 70% cơ quan thu lệ phí nộp vào ngân sách nhà nước theo quy định hiện hành. Việc quản lý, sử dụng số tiền này để thực hiện Dự án “sản xuất, cấp và quản lý Chứng minh nhân dân” thực hiện theo hướng dẫn của Bộ Tài chính. </w:t>
      </w:r>
    </w:p>
    <w:p w:rsidR="0013074D" w:rsidRPr="0013074D" w:rsidRDefault="0013074D" w:rsidP="0013074D">
      <w:pPr>
        <w:widowControl w:val="0"/>
        <w:spacing w:after="120"/>
        <w:ind w:firstLine="720"/>
        <w:jc w:val="both"/>
        <w:rPr>
          <w:rFonts w:ascii="Arial" w:hAnsi="Arial" w:cs="Arial"/>
          <w:b/>
          <w:bCs/>
          <w:color w:val="000000"/>
          <w:sz w:val="20"/>
          <w:szCs w:val="20"/>
        </w:rPr>
      </w:pPr>
      <w:r w:rsidRPr="0013074D">
        <w:rPr>
          <w:rFonts w:ascii="Arial" w:hAnsi="Arial" w:cs="Arial"/>
          <w:b/>
          <w:bCs/>
          <w:color w:val="000000"/>
          <w:sz w:val="20"/>
          <w:szCs w:val="20"/>
        </w:rPr>
        <w:t>Điều 4. Hiệu lực thi hành và quy định chuyển tiếp</w:t>
      </w:r>
    </w:p>
    <w:p w:rsidR="0013074D" w:rsidRPr="0013074D" w:rsidRDefault="0013074D" w:rsidP="0013074D">
      <w:pPr>
        <w:spacing w:after="120"/>
        <w:ind w:firstLine="720"/>
        <w:jc w:val="both"/>
        <w:rPr>
          <w:rFonts w:ascii="Arial" w:hAnsi="Arial" w:cs="Arial"/>
          <w:color w:val="000000"/>
          <w:sz w:val="20"/>
          <w:szCs w:val="20"/>
        </w:rPr>
      </w:pPr>
      <w:r w:rsidRPr="0013074D">
        <w:rPr>
          <w:rFonts w:ascii="Arial" w:hAnsi="Arial" w:cs="Arial"/>
          <w:color w:val="000000"/>
          <w:sz w:val="20"/>
          <w:szCs w:val="20"/>
        </w:rPr>
        <w:t xml:space="preserve">1. Thông tư này có hiệu lực thi hành từ ngày  05/11/2012. </w:t>
      </w:r>
    </w:p>
    <w:p w:rsidR="0013074D" w:rsidRPr="0013074D" w:rsidRDefault="0013074D" w:rsidP="0013074D">
      <w:pPr>
        <w:spacing w:after="120"/>
        <w:ind w:firstLine="720"/>
        <w:jc w:val="both"/>
        <w:rPr>
          <w:rFonts w:ascii="Arial" w:hAnsi="Arial" w:cs="Arial"/>
          <w:sz w:val="20"/>
          <w:szCs w:val="20"/>
        </w:rPr>
      </w:pPr>
      <w:r w:rsidRPr="0013074D">
        <w:rPr>
          <w:rFonts w:ascii="Arial" w:hAnsi="Arial" w:cs="Arial"/>
          <w:sz w:val="20"/>
          <w:szCs w:val="20"/>
        </w:rPr>
        <w:t xml:space="preserve">2. Những nơi chưa có điều kiện triển khai cấp Chứng minh nhân dân mới thì tiếp tục thực hiện chế độ thu, nộp và quản lý </w:t>
      </w:r>
      <w:r w:rsidRPr="0013074D">
        <w:rPr>
          <w:rFonts w:ascii="Arial" w:hAnsi="Arial" w:cs="Arial"/>
          <w:bCs/>
          <w:sz w:val="20"/>
          <w:szCs w:val="20"/>
        </w:rPr>
        <w:t>sử dụng</w:t>
      </w:r>
      <w:r w:rsidRPr="0013074D">
        <w:rPr>
          <w:rFonts w:ascii="Arial" w:hAnsi="Arial" w:cs="Arial"/>
          <w:sz w:val="20"/>
          <w:szCs w:val="20"/>
        </w:rPr>
        <w:t xml:space="preserve"> lệ phí Chứng minh nhân dân theo quy định hiện hành</w:t>
      </w:r>
      <w:r w:rsidRPr="0013074D">
        <w:rPr>
          <w:rFonts w:ascii="Arial" w:hAnsi="Arial" w:cs="Arial"/>
          <w:bCs/>
          <w:color w:val="000000"/>
          <w:sz w:val="20"/>
          <w:szCs w:val="20"/>
        </w:rPr>
        <w:t>.</w:t>
      </w:r>
    </w:p>
    <w:p w:rsidR="0013074D" w:rsidRPr="0013074D" w:rsidRDefault="0013074D" w:rsidP="0013074D">
      <w:pPr>
        <w:widowControl w:val="0"/>
        <w:spacing w:after="120"/>
        <w:ind w:firstLine="720"/>
        <w:jc w:val="both"/>
        <w:rPr>
          <w:rFonts w:ascii="Arial" w:hAnsi="Arial" w:cs="Arial"/>
          <w:bCs/>
          <w:color w:val="000000"/>
          <w:sz w:val="20"/>
          <w:szCs w:val="20"/>
        </w:rPr>
      </w:pPr>
      <w:r w:rsidRPr="0013074D">
        <w:rPr>
          <w:rFonts w:ascii="Arial" w:hAnsi="Arial" w:cs="Arial"/>
          <w:color w:val="000000"/>
          <w:sz w:val="20"/>
          <w:szCs w:val="20"/>
        </w:rPr>
        <w:t>3. Các nội dung khác liên quan đến việc thu, nộp, quản lý, sử dụng và công khai chế độ thu lệ phí không hướng dẫn tại Thông tư này được thực hiện theo hướng dẫn</w:t>
      </w:r>
      <w:r w:rsidRPr="0013074D">
        <w:rPr>
          <w:rFonts w:ascii="Arial" w:hAnsi="Arial" w:cs="Arial"/>
          <w:bCs/>
          <w:color w:val="000000"/>
          <w:sz w:val="20"/>
          <w:szCs w:val="20"/>
        </w:rPr>
        <w:t xml:space="preserve"> tại Thông tư số 63/2002/TT-BTC ngày 24/7/2002 của Bộ Tài chính hướng dẫn thực hiện các quy định pháp luật về phí, lệ phí, Thông tư số 45/2006/TT-BTC ngày 25/5/2006 sửa đổi, bổ sung Thông tư số 63/2002/TT-BTC ngày 24/7/2002 và Thông tư số 28/2011/TT-BTC ngày 28/02/2011 của Bộ Tài chính hướng dẫn thực hiện một số điều của Luật Quản lý thuế, Nghị định số 85/2007/NĐ-CP ngày 25/5/2007, Nghị định số 106/2010/NĐ-CP ngày 28/10/2010 của Chính phủ.</w:t>
      </w:r>
    </w:p>
    <w:p w:rsidR="0013074D" w:rsidRPr="0013074D" w:rsidRDefault="0013074D" w:rsidP="0013074D">
      <w:pPr>
        <w:widowControl w:val="0"/>
        <w:spacing w:after="120"/>
        <w:ind w:firstLine="720"/>
        <w:jc w:val="both"/>
        <w:rPr>
          <w:rFonts w:ascii="Arial" w:hAnsi="Arial" w:cs="Arial"/>
          <w:color w:val="000000"/>
          <w:sz w:val="20"/>
          <w:szCs w:val="20"/>
        </w:rPr>
      </w:pPr>
      <w:r w:rsidRPr="0013074D">
        <w:rPr>
          <w:rFonts w:ascii="Arial" w:hAnsi="Arial" w:cs="Arial"/>
          <w:color w:val="000000"/>
          <w:sz w:val="20"/>
          <w:szCs w:val="20"/>
        </w:rPr>
        <w:t xml:space="preserve">4. Tổ chức, cá nhân thuộc đối tượng nộp lệ phí và cơ quan liên quan chịu trách nhiệm thi hành Thông tư này. </w:t>
      </w:r>
    </w:p>
    <w:p w:rsidR="0013074D" w:rsidRDefault="0013074D" w:rsidP="0013074D">
      <w:pPr>
        <w:widowControl w:val="0"/>
        <w:ind w:firstLine="720"/>
        <w:jc w:val="both"/>
        <w:rPr>
          <w:rFonts w:ascii="Arial" w:hAnsi="Arial" w:cs="Arial"/>
          <w:color w:val="000000"/>
          <w:sz w:val="20"/>
          <w:szCs w:val="20"/>
        </w:rPr>
      </w:pPr>
      <w:r w:rsidRPr="0013074D">
        <w:rPr>
          <w:rFonts w:ascii="Arial" w:hAnsi="Arial" w:cs="Arial"/>
          <w:color w:val="000000"/>
          <w:sz w:val="20"/>
          <w:szCs w:val="20"/>
        </w:rPr>
        <w:t>5. Trong quá trình triển khai thực hiện, nếu có vướng mắc, đề nghị các tổ chức, cá nhân phản ánh kịp thời về Bộ Tài chính để xem xét, hướng dẫn bổ sung./.</w:t>
      </w:r>
    </w:p>
    <w:p w:rsidR="0013074D" w:rsidRPr="0013074D" w:rsidRDefault="0013074D" w:rsidP="0013074D">
      <w:pPr>
        <w:widowControl w:val="0"/>
        <w:ind w:firstLine="720"/>
        <w:jc w:val="both"/>
        <w:rPr>
          <w:rFonts w:ascii="Arial" w:hAnsi="Arial" w:cs="Arial"/>
          <w:color w:val="000000"/>
          <w:sz w:val="20"/>
          <w:szCs w:val="20"/>
        </w:rPr>
      </w:pPr>
    </w:p>
    <w:tbl>
      <w:tblPr>
        <w:tblW w:w="9028" w:type="dxa"/>
        <w:tblCellMar>
          <w:left w:w="28" w:type="dxa"/>
          <w:right w:w="28" w:type="dxa"/>
        </w:tblCellMar>
        <w:tblLook w:val="01E0"/>
      </w:tblPr>
      <w:tblGrid>
        <w:gridCol w:w="5273"/>
        <w:gridCol w:w="3755"/>
      </w:tblGrid>
      <w:tr w:rsidR="0013074D" w:rsidRPr="0013074D" w:rsidTr="0013074D">
        <w:tc>
          <w:tcPr>
            <w:tcW w:w="5273" w:type="dxa"/>
          </w:tcPr>
          <w:p w:rsidR="0013074D" w:rsidRDefault="0013074D" w:rsidP="0013074D">
            <w:pPr>
              <w:widowControl w:val="0"/>
              <w:jc w:val="both"/>
              <w:rPr>
                <w:rFonts w:ascii="Arial" w:hAnsi="Arial" w:cs="Arial"/>
                <w:b/>
                <w:i/>
                <w:sz w:val="20"/>
                <w:szCs w:val="20"/>
                <w:lang w:val="nl-NL"/>
              </w:rPr>
            </w:pPr>
            <w:r w:rsidRPr="0013074D">
              <w:rPr>
                <w:rFonts w:ascii="Arial" w:hAnsi="Arial" w:cs="Arial"/>
                <w:b/>
                <w:i/>
                <w:sz w:val="20"/>
                <w:szCs w:val="20"/>
                <w:lang w:val="nl-NL"/>
              </w:rPr>
              <w:t>Nơi nhận:</w:t>
            </w:r>
          </w:p>
          <w:p w:rsidR="0013074D" w:rsidRPr="0013074D" w:rsidRDefault="0013074D" w:rsidP="0013074D">
            <w:pPr>
              <w:widowControl w:val="0"/>
              <w:jc w:val="both"/>
              <w:rPr>
                <w:rFonts w:ascii="Arial" w:hAnsi="Arial" w:cs="Arial"/>
                <w:sz w:val="20"/>
                <w:szCs w:val="20"/>
              </w:rPr>
            </w:pPr>
            <w:r w:rsidRPr="0013074D">
              <w:rPr>
                <w:rFonts w:ascii="Arial" w:hAnsi="Arial" w:cs="Arial"/>
                <w:sz w:val="20"/>
                <w:szCs w:val="20"/>
              </w:rPr>
              <w:t>- Văn phòng Trung ương và các Ban của Đảng;</w:t>
            </w:r>
          </w:p>
          <w:p w:rsidR="0013074D" w:rsidRPr="0013074D" w:rsidRDefault="0013074D" w:rsidP="0013074D">
            <w:pPr>
              <w:widowControl w:val="0"/>
              <w:jc w:val="both"/>
              <w:rPr>
                <w:rFonts w:ascii="Arial" w:hAnsi="Arial" w:cs="Arial"/>
                <w:sz w:val="20"/>
                <w:szCs w:val="20"/>
              </w:rPr>
            </w:pPr>
            <w:r w:rsidRPr="0013074D">
              <w:rPr>
                <w:rFonts w:ascii="Arial" w:hAnsi="Arial" w:cs="Arial"/>
                <w:sz w:val="20"/>
                <w:szCs w:val="20"/>
              </w:rPr>
              <w:t>- Văn phòng Tổng bí thư;</w:t>
            </w:r>
          </w:p>
          <w:p w:rsidR="0013074D" w:rsidRPr="0013074D" w:rsidRDefault="0013074D" w:rsidP="0013074D">
            <w:pPr>
              <w:widowControl w:val="0"/>
              <w:jc w:val="both"/>
              <w:rPr>
                <w:rFonts w:ascii="Arial" w:hAnsi="Arial" w:cs="Arial"/>
                <w:sz w:val="20"/>
                <w:szCs w:val="20"/>
              </w:rPr>
            </w:pPr>
            <w:r w:rsidRPr="0013074D">
              <w:rPr>
                <w:rFonts w:ascii="Arial" w:hAnsi="Arial" w:cs="Arial"/>
                <w:sz w:val="20"/>
                <w:szCs w:val="20"/>
              </w:rPr>
              <w:t>- Văn phòng Quốc hội;</w:t>
            </w:r>
          </w:p>
          <w:p w:rsidR="0013074D" w:rsidRPr="0013074D" w:rsidRDefault="0013074D" w:rsidP="0013074D">
            <w:pPr>
              <w:widowControl w:val="0"/>
              <w:jc w:val="both"/>
              <w:rPr>
                <w:rFonts w:ascii="Arial" w:hAnsi="Arial" w:cs="Arial"/>
                <w:sz w:val="20"/>
                <w:szCs w:val="20"/>
              </w:rPr>
            </w:pPr>
            <w:r w:rsidRPr="0013074D">
              <w:rPr>
                <w:rFonts w:ascii="Arial" w:hAnsi="Arial" w:cs="Arial"/>
                <w:sz w:val="20"/>
                <w:szCs w:val="20"/>
              </w:rPr>
              <w:t>- Văn phòng Chủ tịch nước;</w:t>
            </w:r>
          </w:p>
          <w:p w:rsidR="0013074D" w:rsidRPr="0013074D" w:rsidRDefault="0013074D" w:rsidP="0013074D">
            <w:pPr>
              <w:widowControl w:val="0"/>
              <w:jc w:val="both"/>
              <w:rPr>
                <w:rFonts w:ascii="Arial" w:hAnsi="Arial" w:cs="Arial"/>
                <w:sz w:val="20"/>
                <w:szCs w:val="20"/>
              </w:rPr>
            </w:pPr>
            <w:r w:rsidRPr="0013074D">
              <w:rPr>
                <w:rFonts w:ascii="Arial" w:hAnsi="Arial" w:cs="Arial"/>
                <w:sz w:val="20"/>
                <w:szCs w:val="20"/>
              </w:rPr>
              <w:t>- Viện Kiểm sát nhân dân tối cao;</w:t>
            </w:r>
          </w:p>
          <w:p w:rsidR="0013074D" w:rsidRPr="0013074D" w:rsidRDefault="0013074D" w:rsidP="0013074D">
            <w:pPr>
              <w:widowControl w:val="0"/>
              <w:jc w:val="both"/>
              <w:rPr>
                <w:rFonts w:ascii="Arial" w:hAnsi="Arial" w:cs="Arial"/>
                <w:sz w:val="20"/>
                <w:szCs w:val="20"/>
              </w:rPr>
            </w:pPr>
            <w:r w:rsidRPr="0013074D">
              <w:rPr>
                <w:rFonts w:ascii="Arial" w:hAnsi="Arial" w:cs="Arial"/>
                <w:sz w:val="20"/>
                <w:szCs w:val="20"/>
              </w:rPr>
              <w:lastRenderedPageBreak/>
              <w:t>- Toà án nhân dân tối cao;</w:t>
            </w:r>
          </w:p>
          <w:p w:rsidR="0013074D" w:rsidRPr="0013074D" w:rsidRDefault="0013074D" w:rsidP="0013074D">
            <w:pPr>
              <w:widowControl w:val="0"/>
              <w:jc w:val="both"/>
              <w:rPr>
                <w:rFonts w:ascii="Arial" w:hAnsi="Arial" w:cs="Arial"/>
                <w:sz w:val="20"/>
                <w:szCs w:val="20"/>
              </w:rPr>
            </w:pPr>
            <w:r w:rsidRPr="0013074D">
              <w:rPr>
                <w:rFonts w:ascii="Arial" w:hAnsi="Arial" w:cs="Arial"/>
                <w:sz w:val="20"/>
                <w:szCs w:val="20"/>
              </w:rPr>
              <w:t>- Kiểm toán nhà nước;</w:t>
            </w:r>
          </w:p>
          <w:p w:rsidR="0013074D" w:rsidRPr="0013074D" w:rsidRDefault="0013074D" w:rsidP="0013074D">
            <w:pPr>
              <w:widowControl w:val="0"/>
              <w:jc w:val="both"/>
              <w:rPr>
                <w:rFonts w:ascii="Arial" w:hAnsi="Arial" w:cs="Arial"/>
                <w:sz w:val="20"/>
                <w:szCs w:val="20"/>
              </w:rPr>
            </w:pPr>
            <w:r w:rsidRPr="0013074D">
              <w:rPr>
                <w:rFonts w:ascii="Arial" w:hAnsi="Arial" w:cs="Arial"/>
                <w:sz w:val="20"/>
                <w:szCs w:val="20"/>
              </w:rPr>
              <w:t xml:space="preserve">- Các Bộ, cơ quan ngang Bộ, </w:t>
            </w:r>
          </w:p>
          <w:p w:rsidR="0013074D" w:rsidRPr="0013074D" w:rsidRDefault="0013074D" w:rsidP="0013074D">
            <w:pPr>
              <w:widowControl w:val="0"/>
              <w:jc w:val="both"/>
              <w:rPr>
                <w:rFonts w:ascii="Arial" w:hAnsi="Arial" w:cs="Arial"/>
                <w:sz w:val="20"/>
                <w:szCs w:val="20"/>
              </w:rPr>
            </w:pPr>
            <w:r w:rsidRPr="0013074D">
              <w:rPr>
                <w:rFonts w:ascii="Arial" w:hAnsi="Arial" w:cs="Arial"/>
                <w:sz w:val="20"/>
                <w:szCs w:val="20"/>
              </w:rPr>
              <w:t xml:space="preserve">  cơ quan thuộc Chính phủ;</w:t>
            </w:r>
          </w:p>
          <w:p w:rsidR="0013074D" w:rsidRPr="0013074D" w:rsidRDefault="0013074D" w:rsidP="0013074D">
            <w:pPr>
              <w:widowControl w:val="0"/>
              <w:jc w:val="both"/>
              <w:rPr>
                <w:rFonts w:ascii="Arial" w:hAnsi="Arial" w:cs="Arial"/>
                <w:sz w:val="20"/>
                <w:szCs w:val="20"/>
              </w:rPr>
            </w:pPr>
            <w:r w:rsidRPr="0013074D">
              <w:rPr>
                <w:rFonts w:ascii="Arial" w:hAnsi="Arial" w:cs="Arial"/>
                <w:sz w:val="20"/>
                <w:szCs w:val="20"/>
              </w:rPr>
              <w:t>- Văn phòng BCĐ TW về phòng, chống tham nhũng;</w:t>
            </w:r>
          </w:p>
          <w:p w:rsidR="0013074D" w:rsidRPr="0013074D" w:rsidRDefault="0013074D" w:rsidP="0013074D">
            <w:pPr>
              <w:widowControl w:val="0"/>
              <w:jc w:val="both"/>
              <w:rPr>
                <w:rFonts w:ascii="Arial" w:hAnsi="Arial" w:cs="Arial"/>
                <w:sz w:val="20"/>
                <w:szCs w:val="20"/>
              </w:rPr>
            </w:pPr>
            <w:r w:rsidRPr="0013074D">
              <w:rPr>
                <w:rFonts w:ascii="Arial" w:hAnsi="Arial" w:cs="Arial"/>
                <w:sz w:val="20"/>
                <w:szCs w:val="20"/>
              </w:rPr>
              <w:t>- Cơ quan Trung ương của các đoàn thể;</w:t>
            </w:r>
          </w:p>
          <w:p w:rsidR="0013074D" w:rsidRPr="0013074D" w:rsidRDefault="0013074D" w:rsidP="0013074D">
            <w:pPr>
              <w:widowControl w:val="0"/>
              <w:jc w:val="both"/>
              <w:rPr>
                <w:rFonts w:ascii="Arial" w:hAnsi="Arial" w:cs="Arial"/>
                <w:sz w:val="20"/>
                <w:szCs w:val="20"/>
              </w:rPr>
            </w:pPr>
            <w:r w:rsidRPr="0013074D">
              <w:rPr>
                <w:rFonts w:ascii="Arial" w:hAnsi="Arial" w:cs="Arial"/>
                <w:sz w:val="20"/>
                <w:szCs w:val="20"/>
              </w:rPr>
              <w:t>- Công báo;</w:t>
            </w:r>
          </w:p>
          <w:p w:rsidR="0013074D" w:rsidRPr="0013074D" w:rsidRDefault="0013074D" w:rsidP="0013074D">
            <w:pPr>
              <w:widowControl w:val="0"/>
              <w:jc w:val="both"/>
              <w:rPr>
                <w:rFonts w:ascii="Arial" w:hAnsi="Arial" w:cs="Arial"/>
                <w:sz w:val="20"/>
                <w:szCs w:val="20"/>
              </w:rPr>
            </w:pPr>
            <w:r w:rsidRPr="0013074D">
              <w:rPr>
                <w:rFonts w:ascii="Arial" w:hAnsi="Arial" w:cs="Arial"/>
                <w:sz w:val="20"/>
                <w:szCs w:val="20"/>
              </w:rPr>
              <w:t xml:space="preserve">- Website chính phủ; </w:t>
            </w:r>
          </w:p>
          <w:p w:rsidR="0013074D" w:rsidRPr="0013074D" w:rsidRDefault="0013074D" w:rsidP="0013074D">
            <w:pPr>
              <w:widowControl w:val="0"/>
              <w:jc w:val="both"/>
              <w:rPr>
                <w:rFonts w:ascii="Arial" w:hAnsi="Arial" w:cs="Arial"/>
                <w:sz w:val="20"/>
                <w:szCs w:val="20"/>
              </w:rPr>
            </w:pPr>
            <w:r w:rsidRPr="0013074D">
              <w:rPr>
                <w:rFonts w:ascii="Arial" w:hAnsi="Arial" w:cs="Arial"/>
                <w:sz w:val="20"/>
                <w:szCs w:val="20"/>
              </w:rPr>
              <w:t>- Uỷ ban nhân dân, Sở Tài chính, Cục Thuế, Kho bạc</w:t>
            </w:r>
          </w:p>
          <w:p w:rsidR="0013074D" w:rsidRPr="0013074D" w:rsidRDefault="0013074D" w:rsidP="0013074D">
            <w:pPr>
              <w:widowControl w:val="0"/>
              <w:jc w:val="both"/>
              <w:rPr>
                <w:rFonts w:ascii="Arial" w:hAnsi="Arial" w:cs="Arial"/>
                <w:sz w:val="20"/>
                <w:szCs w:val="20"/>
              </w:rPr>
            </w:pPr>
            <w:r w:rsidRPr="0013074D">
              <w:rPr>
                <w:rFonts w:ascii="Arial" w:hAnsi="Arial" w:cs="Arial"/>
                <w:sz w:val="20"/>
                <w:szCs w:val="20"/>
              </w:rPr>
              <w:t xml:space="preserve">  nhà nước các tỉnh, thành phố trực thuộc Trung ương;</w:t>
            </w:r>
          </w:p>
          <w:p w:rsidR="0013074D" w:rsidRPr="0013074D" w:rsidRDefault="0013074D" w:rsidP="0013074D">
            <w:pPr>
              <w:widowControl w:val="0"/>
              <w:jc w:val="both"/>
              <w:rPr>
                <w:rFonts w:ascii="Arial" w:hAnsi="Arial" w:cs="Arial"/>
                <w:sz w:val="20"/>
                <w:szCs w:val="20"/>
              </w:rPr>
            </w:pPr>
            <w:r w:rsidRPr="0013074D">
              <w:rPr>
                <w:rFonts w:ascii="Arial" w:hAnsi="Arial" w:cs="Arial"/>
                <w:sz w:val="20"/>
                <w:szCs w:val="20"/>
              </w:rPr>
              <w:t>- Cục Kiểm tra văn bản (Bộ Tư pháp);</w:t>
            </w:r>
          </w:p>
          <w:p w:rsidR="0013074D" w:rsidRPr="0013074D" w:rsidRDefault="0013074D" w:rsidP="0013074D">
            <w:pPr>
              <w:widowControl w:val="0"/>
              <w:jc w:val="both"/>
              <w:rPr>
                <w:rFonts w:ascii="Arial" w:hAnsi="Arial" w:cs="Arial"/>
                <w:sz w:val="20"/>
                <w:szCs w:val="20"/>
              </w:rPr>
            </w:pPr>
            <w:r w:rsidRPr="0013074D">
              <w:rPr>
                <w:rFonts w:ascii="Arial" w:hAnsi="Arial" w:cs="Arial"/>
                <w:sz w:val="20"/>
                <w:szCs w:val="20"/>
              </w:rPr>
              <w:t>- Các đơn vị thuộc Bộ Tài chính;</w:t>
            </w:r>
          </w:p>
          <w:p w:rsidR="0013074D" w:rsidRPr="0013074D" w:rsidRDefault="0013074D" w:rsidP="0013074D">
            <w:pPr>
              <w:widowControl w:val="0"/>
              <w:jc w:val="both"/>
              <w:rPr>
                <w:rFonts w:ascii="Arial" w:hAnsi="Arial" w:cs="Arial"/>
                <w:sz w:val="20"/>
                <w:szCs w:val="20"/>
              </w:rPr>
            </w:pPr>
            <w:r w:rsidRPr="0013074D">
              <w:rPr>
                <w:rFonts w:ascii="Arial" w:hAnsi="Arial" w:cs="Arial"/>
                <w:sz w:val="20"/>
                <w:szCs w:val="20"/>
              </w:rPr>
              <w:t>- Website Bộ Tài chính;</w:t>
            </w:r>
          </w:p>
          <w:p w:rsidR="0013074D" w:rsidRPr="0013074D" w:rsidRDefault="0013074D" w:rsidP="0013074D">
            <w:pPr>
              <w:widowControl w:val="0"/>
              <w:jc w:val="both"/>
              <w:rPr>
                <w:rFonts w:ascii="Arial" w:hAnsi="Arial" w:cs="Arial"/>
                <w:b/>
                <w:i/>
                <w:sz w:val="20"/>
                <w:szCs w:val="20"/>
                <w:lang w:val="nl-NL"/>
              </w:rPr>
            </w:pPr>
            <w:r w:rsidRPr="0013074D">
              <w:rPr>
                <w:rFonts w:ascii="Arial" w:hAnsi="Arial" w:cs="Arial"/>
                <w:sz w:val="20"/>
                <w:szCs w:val="20"/>
              </w:rPr>
              <w:t>- Lưu: VT, (CST5)</w:t>
            </w:r>
          </w:p>
        </w:tc>
        <w:tc>
          <w:tcPr>
            <w:tcW w:w="3755" w:type="dxa"/>
          </w:tcPr>
          <w:p w:rsidR="0013074D" w:rsidRDefault="0013074D" w:rsidP="0013074D">
            <w:pPr>
              <w:widowControl w:val="0"/>
              <w:jc w:val="center"/>
              <w:rPr>
                <w:rFonts w:ascii="Arial" w:hAnsi="Arial" w:cs="Arial"/>
                <w:b/>
                <w:sz w:val="20"/>
                <w:szCs w:val="20"/>
                <w:lang w:val="nl-NL"/>
              </w:rPr>
            </w:pPr>
            <w:r w:rsidRPr="0013074D">
              <w:rPr>
                <w:rFonts w:ascii="Arial" w:hAnsi="Arial" w:cs="Arial"/>
                <w:b/>
                <w:sz w:val="20"/>
                <w:szCs w:val="20"/>
                <w:lang w:val="nl-NL"/>
              </w:rPr>
              <w:lastRenderedPageBreak/>
              <w:t>KT. BỘ TRƯỞNG</w:t>
            </w:r>
          </w:p>
          <w:p w:rsidR="0013074D" w:rsidRDefault="0013074D" w:rsidP="0013074D">
            <w:pPr>
              <w:widowControl w:val="0"/>
              <w:jc w:val="center"/>
              <w:rPr>
                <w:rFonts w:ascii="Arial" w:hAnsi="Arial" w:cs="Arial"/>
                <w:b/>
                <w:sz w:val="20"/>
                <w:szCs w:val="20"/>
                <w:lang w:val="nl-NL"/>
              </w:rPr>
            </w:pPr>
            <w:r w:rsidRPr="0013074D">
              <w:rPr>
                <w:rFonts w:ascii="Arial" w:hAnsi="Arial" w:cs="Arial"/>
                <w:b/>
                <w:sz w:val="20"/>
                <w:szCs w:val="20"/>
                <w:lang w:val="nl-NL"/>
              </w:rPr>
              <w:t>THỨ TRƯỞNG</w:t>
            </w:r>
          </w:p>
          <w:p w:rsidR="0013074D" w:rsidRDefault="0013074D" w:rsidP="0013074D">
            <w:pPr>
              <w:widowControl w:val="0"/>
              <w:jc w:val="center"/>
              <w:rPr>
                <w:rFonts w:ascii="Arial" w:hAnsi="Arial" w:cs="Arial"/>
                <w:b/>
                <w:sz w:val="20"/>
                <w:szCs w:val="20"/>
                <w:lang w:val="nl-NL"/>
              </w:rPr>
            </w:pPr>
          </w:p>
          <w:p w:rsidR="0013074D" w:rsidRPr="0013074D" w:rsidRDefault="0013074D" w:rsidP="0013074D">
            <w:pPr>
              <w:widowControl w:val="0"/>
              <w:rPr>
                <w:rFonts w:ascii="Arial" w:hAnsi="Arial" w:cs="Arial"/>
                <w:b/>
                <w:sz w:val="20"/>
                <w:szCs w:val="20"/>
                <w:lang w:val="nl-NL"/>
              </w:rPr>
            </w:pPr>
            <w:r w:rsidRPr="0013074D">
              <w:rPr>
                <w:rFonts w:ascii="Arial" w:hAnsi="Arial" w:cs="Arial"/>
                <w:b/>
                <w:sz w:val="20"/>
                <w:szCs w:val="20"/>
                <w:lang w:val="nl-NL"/>
              </w:rPr>
              <w:t xml:space="preserve">             Nguyễn Công Nghiệp</w:t>
            </w:r>
          </w:p>
        </w:tc>
      </w:tr>
    </w:tbl>
    <w:p w:rsidR="0013074D" w:rsidRPr="0013074D" w:rsidRDefault="0013074D" w:rsidP="0013074D">
      <w:pPr>
        <w:rPr>
          <w:rFonts w:ascii="Arial" w:hAnsi="Arial" w:cs="Arial"/>
          <w:sz w:val="20"/>
          <w:szCs w:val="20"/>
        </w:rPr>
      </w:pPr>
    </w:p>
    <w:p w:rsidR="00101C14" w:rsidRPr="0013074D" w:rsidRDefault="00101C14" w:rsidP="0013074D">
      <w:pPr>
        <w:rPr>
          <w:rFonts w:ascii="Arial" w:hAnsi="Arial" w:cs="Arial"/>
          <w:sz w:val="20"/>
          <w:szCs w:val="20"/>
        </w:rPr>
      </w:pPr>
    </w:p>
    <w:p w:rsidR="00101C14" w:rsidRPr="0013074D" w:rsidRDefault="00101C14" w:rsidP="0013074D">
      <w:pPr>
        <w:rPr>
          <w:rFonts w:ascii="Arial" w:hAnsi="Arial" w:cs="Arial"/>
          <w:sz w:val="20"/>
          <w:szCs w:val="20"/>
        </w:rPr>
      </w:pPr>
    </w:p>
    <w:p w:rsidR="00234E0E" w:rsidRPr="0013074D" w:rsidRDefault="00234E0E" w:rsidP="0013074D">
      <w:pPr>
        <w:rPr>
          <w:rFonts w:ascii="Arial" w:hAnsi="Arial" w:cs="Arial"/>
          <w:sz w:val="20"/>
          <w:szCs w:val="20"/>
        </w:rPr>
      </w:pPr>
    </w:p>
    <w:sectPr w:rsidR="00234E0E" w:rsidRPr="0013074D" w:rsidSect="00101C14">
      <w:headerReference w:type="default" r:id="rId7"/>
      <w:footerReference w:type="even" r:id="rId8"/>
      <w:footerReference w:type="default" r:id="rId9"/>
      <w:pgSz w:w="12240" w:h="15840" w:code="1"/>
      <w:pgMar w:top="1440" w:right="1440" w:bottom="1440" w:left="18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60C" w:rsidRDefault="0030060C">
      <w:r>
        <w:separator/>
      </w:r>
    </w:p>
  </w:endnote>
  <w:endnote w:type="continuationSeparator" w:id="1">
    <w:p w:rsidR="0030060C" w:rsidRDefault="003006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0E" w:rsidRDefault="00234E0E" w:rsidP="007B0E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4E0E" w:rsidRDefault="00234E0E" w:rsidP="002B3B8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0E" w:rsidRDefault="00234E0E" w:rsidP="002B3B81">
    <w:pPr>
      <w:pStyle w:val="Footer"/>
      <w:framePr w:wrap="around" w:vAnchor="text" w:hAnchor="page" w:x="11341" w:y="541"/>
      <w:rPr>
        <w:rStyle w:val="PageNumber"/>
      </w:rPr>
    </w:pPr>
    <w:r>
      <w:rPr>
        <w:rStyle w:val="PageNumber"/>
      </w:rPr>
      <w:fldChar w:fldCharType="begin"/>
    </w:r>
    <w:r>
      <w:rPr>
        <w:rStyle w:val="PageNumber"/>
      </w:rPr>
      <w:instrText xml:space="preserve">PAGE  </w:instrText>
    </w:r>
    <w:r>
      <w:rPr>
        <w:rStyle w:val="PageNumber"/>
      </w:rPr>
      <w:fldChar w:fldCharType="separate"/>
    </w:r>
    <w:r w:rsidR="00783B0C">
      <w:rPr>
        <w:rStyle w:val="PageNumber"/>
        <w:noProof/>
      </w:rPr>
      <w:t>1</w:t>
    </w:r>
    <w:r>
      <w:rPr>
        <w:rStyle w:val="PageNumber"/>
      </w:rPr>
      <w:fldChar w:fldCharType="end"/>
    </w:r>
  </w:p>
  <w:p w:rsidR="00234E0E" w:rsidRDefault="00234E0E" w:rsidP="0095586E">
    <w:pPr>
      <w:pStyle w:val="Footer"/>
      <w:ind w:right="357"/>
      <w:rPr>
        <w:rFonts w:ascii="Tahoma" w:hAnsi="Tahoma" w:cs="Tahoma"/>
        <w:b/>
        <w:bCs/>
        <w:color w:val="000000"/>
        <w:sz w:val="20"/>
        <w:szCs w:val="20"/>
      </w:rPr>
    </w:pPr>
    <w:r>
      <w:rPr>
        <w:rFonts w:ascii="Tahoma" w:hAnsi="Tahoma" w:cs="Tahoma"/>
        <w:b/>
        <w:bCs/>
        <w:color w:val="000000"/>
        <w:sz w:val="20"/>
        <w:szCs w:val="20"/>
      </w:rPr>
      <w:t xml:space="preserve">     </w:t>
    </w:r>
  </w:p>
  <w:tbl>
    <w:tblPr>
      <w:tblW w:w="0" w:type="auto"/>
      <w:tblInd w:w="108" w:type="dxa"/>
      <w:tblLook w:val="01E0"/>
    </w:tblPr>
    <w:tblGrid>
      <w:gridCol w:w="2583"/>
      <w:gridCol w:w="6446"/>
    </w:tblGrid>
    <w:tr w:rsidR="00234E0E" w:rsidRPr="00506763" w:rsidTr="00506763">
      <w:trPr>
        <w:trHeight w:val="1011"/>
      </w:trPr>
      <w:tc>
        <w:tcPr>
          <w:tcW w:w="2554" w:type="dxa"/>
        </w:tcPr>
        <w:p w:rsidR="00234E0E" w:rsidRPr="00506763" w:rsidRDefault="00234E0E" w:rsidP="00506763">
          <w:pPr>
            <w:pStyle w:val="Footer"/>
            <w:ind w:right="357"/>
            <w:rPr>
              <w:rFonts w:ascii="Tahoma" w:hAnsi="Tahoma" w:cs="Tahoma"/>
              <w:b/>
              <w:bCs/>
              <w:color w:val="000000"/>
              <w:sz w:val="20"/>
              <w:szCs w:val="20"/>
            </w:rPr>
          </w:pPr>
          <w:r w:rsidRPr="00506763">
            <w:rPr>
              <w:rFonts w:ascii="Tahoma" w:hAnsi="Tahoma" w:cs="Tahoma"/>
              <w:b/>
              <w:bCs/>
              <w:color w:val="000000"/>
              <w:sz w:val="20"/>
              <w:szCs w:val="20"/>
            </w:rPr>
            <w:t xml:space="preserve"> </w:t>
          </w:r>
          <w:r w:rsidR="00783B0C">
            <w:rPr>
              <w:rFonts w:ascii="Tahoma" w:hAnsi="Tahoma" w:cs="Tahoma"/>
              <w:b/>
              <w:bCs/>
              <w:noProof/>
              <w:color w:val="000000"/>
              <w:sz w:val="20"/>
              <w:szCs w:val="20"/>
            </w:rPr>
            <w:drawing>
              <wp:inline distT="0" distB="0" distL="0" distR="0">
                <wp:extent cx="1257300" cy="523875"/>
                <wp:effectExtent l="19050" t="0" r="0" b="0"/>
                <wp:docPr id="2" name="Picture 2" descr="logoincom_7-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incom_7-2011"/>
                        <pic:cNvPicPr>
                          <a:picLocks noChangeAspect="1" noChangeArrowheads="1"/>
                        </pic:cNvPicPr>
                      </pic:nvPicPr>
                      <pic:blipFill>
                        <a:blip r:embed="rId1"/>
                        <a:srcRect/>
                        <a:stretch>
                          <a:fillRect/>
                        </a:stretch>
                      </pic:blipFill>
                      <pic:spPr bwMode="auto">
                        <a:xfrm>
                          <a:off x="0" y="0"/>
                          <a:ext cx="1257300" cy="523875"/>
                        </a:xfrm>
                        <a:prstGeom prst="rect">
                          <a:avLst/>
                        </a:prstGeom>
                        <a:noFill/>
                        <a:ln w="9525">
                          <a:noFill/>
                          <a:miter lim="800000"/>
                          <a:headEnd/>
                          <a:tailEnd/>
                        </a:ln>
                      </pic:spPr>
                    </pic:pic>
                  </a:graphicData>
                </a:graphic>
              </wp:inline>
            </w:drawing>
          </w:r>
        </w:p>
      </w:tc>
      <w:tc>
        <w:tcPr>
          <w:tcW w:w="6446" w:type="dxa"/>
        </w:tcPr>
        <w:p w:rsidR="00234E0E" w:rsidRPr="00506763" w:rsidRDefault="00234E0E" w:rsidP="00506763">
          <w:pPr>
            <w:pStyle w:val="Footer"/>
            <w:ind w:right="357"/>
            <w:rPr>
              <w:rFonts w:ascii="Tahoma" w:hAnsi="Tahoma" w:cs="Tahoma"/>
              <w:b/>
              <w:bCs/>
              <w:color w:val="000000"/>
              <w:sz w:val="20"/>
              <w:szCs w:val="20"/>
            </w:rPr>
          </w:pPr>
          <w:r w:rsidRPr="00506763">
            <w:rPr>
              <w:rFonts w:ascii="Tahoma" w:hAnsi="Tahoma" w:cs="Tahoma"/>
              <w:b/>
              <w:bCs/>
              <w:color w:val="000000"/>
              <w:sz w:val="20"/>
              <w:szCs w:val="20"/>
            </w:rPr>
            <w:t>Trung tâm LuatVietnam - Công ty CP Truyền thông Quốc tế INCOM</w:t>
          </w:r>
        </w:p>
        <w:p w:rsidR="00234E0E" w:rsidRPr="00506763" w:rsidRDefault="00234E0E" w:rsidP="00506763">
          <w:pPr>
            <w:pStyle w:val="Footer"/>
            <w:ind w:right="357"/>
            <w:rPr>
              <w:rFonts w:ascii="Tahoma" w:hAnsi="Tahoma" w:cs="Tahoma"/>
              <w:bCs/>
              <w:color w:val="000000"/>
              <w:spacing w:val="-6"/>
              <w:sz w:val="20"/>
              <w:szCs w:val="20"/>
            </w:rPr>
          </w:pPr>
          <w:r w:rsidRPr="00506763">
            <w:rPr>
              <w:rFonts w:ascii="Tahoma" w:hAnsi="Tahoma" w:cs="Tahoma"/>
              <w:bCs/>
              <w:color w:val="000000"/>
              <w:spacing w:val="-6"/>
              <w:sz w:val="20"/>
              <w:szCs w:val="20"/>
            </w:rPr>
            <w:t>Địa chỉ: Tầng 3, Tòa nhà TechnoSoft, phố Duy Tân, Cầu Giấy, Hà Nội</w:t>
          </w:r>
        </w:p>
        <w:p w:rsidR="00234E0E" w:rsidRPr="00506763" w:rsidRDefault="00234E0E" w:rsidP="00506763">
          <w:pPr>
            <w:pStyle w:val="Footer"/>
            <w:ind w:right="357"/>
            <w:rPr>
              <w:rFonts w:ascii="Tahoma" w:hAnsi="Tahoma" w:cs="Tahoma"/>
              <w:bCs/>
              <w:color w:val="000000"/>
              <w:sz w:val="20"/>
              <w:szCs w:val="20"/>
            </w:rPr>
          </w:pPr>
          <w:r w:rsidRPr="00506763">
            <w:rPr>
              <w:rFonts w:ascii="Tahoma" w:hAnsi="Tahoma" w:cs="Tahoma"/>
              <w:bCs/>
              <w:color w:val="000000"/>
              <w:sz w:val="20"/>
              <w:szCs w:val="20"/>
            </w:rPr>
            <w:t>ĐT: (04) 37833688 - Fax: (04) 37833699</w:t>
          </w:r>
        </w:p>
        <w:p w:rsidR="00234E0E" w:rsidRPr="00506763" w:rsidRDefault="00234E0E" w:rsidP="00506763">
          <w:pPr>
            <w:pStyle w:val="Footer"/>
            <w:ind w:right="357"/>
            <w:rPr>
              <w:rFonts w:ascii="Tahoma" w:hAnsi="Tahoma" w:cs="Tahoma"/>
              <w:b/>
              <w:bCs/>
              <w:color w:val="000000"/>
              <w:sz w:val="20"/>
              <w:szCs w:val="20"/>
            </w:rPr>
          </w:pPr>
          <w:r w:rsidRPr="00506763">
            <w:rPr>
              <w:rFonts w:ascii="Tahoma" w:hAnsi="Tahoma" w:cs="Tahoma"/>
              <w:bCs/>
              <w:color w:val="000000"/>
              <w:sz w:val="20"/>
              <w:szCs w:val="20"/>
            </w:rPr>
            <w:t>Hotline: 016 9696 8989 - Email: lawdata@luatvietnam.vn</w:t>
          </w:r>
        </w:p>
      </w:tc>
    </w:tr>
  </w:tbl>
  <w:p w:rsidR="00234E0E" w:rsidRDefault="00234E0E" w:rsidP="0095586E">
    <w:pPr>
      <w:pStyle w:val="Footer"/>
      <w:ind w:right="357"/>
    </w:pPr>
    <w:r>
      <w:rPr>
        <w:rFonts w:ascii="Tahoma" w:hAnsi="Tahoma" w:cs="Tahoma"/>
        <w:b/>
        <w:bCs/>
        <w:color w:val="000000"/>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60C" w:rsidRDefault="0030060C">
      <w:r>
        <w:separator/>
      </w:r>
    </w:p>
  </w:footnote>
  <w:footnote w:type="continuationSeparator" w:id="1">
    <w:p w:rsidR="0030060C" w:rsidRDefault="003006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0E" w:rsidRDefault="00234E0E">
    <w:pPr>
      <w:pStyle w:val="Header"/>
    </w:pPr>
    <w:r>
      <w:rPr>
        <w:noProof/>
      </w:rPr>
      <w:pict>
        <v:shapetype id="_x0000_t202" coordsize="21600,21600" o:spt="202" path="m,l,21600r21600,l21600,xe">
          <v:stroke joinstyle="miter"/>
          <v:path gradientshapeok="t" o:connecttype="rect"/>
        </v:shapetype>
        <v:shape id="_x0000_s2049" type="#_x0000_t202" style="position:absolute;margin-left:2in;margin-top:9pt;width:315pt;height:63pt;z-index:251657728" stroked="f">
          <v:textbox style="mso-next-textbox:#_x0000_s2049">
            <w:txbxContent>
              <w:p w:rsidR="00234E0E" w:rsidRPr="0027336B" w:rsidRDefault="00234E0E" w:rsidP="0027336B">
                <w:pPr>
                  <w:pStyle w:val="Heading3"/>
                  <w:shd w:val="clear" w:color="auto" w:fill="FFFFFF"/>
                  <w:spacing w:before="0" w:beforeAutospacing="0" w:after="0" w:afterAutospacing="0"/>
                  <w:rPr>
                    <w:rFonts w:ascii="Arial" w:hAnsi="Arial" w:cs="Arial"/>
                    <w:bCs w:val="0"/>
                    <w:shadow/>
                    <w:color w:val="FF0000"/>
                  </w:rPr>
                </w:pPr>
                <w:r>
                  <w:rPr>
                    <w:rStyle w:val="Hyperlink"/>
                    <w:rFonts w:ascii="Arial" w:hAnsi="Arial"/>
                    <w:shadow/>
                    <w:color w:val="333333"/>
                    <w:u w:val="none"/>
                  </w:rPr>
                  <w:t xml:space="preserve">   </w:t>
                </w:r>
                <w:r w:rsidRPr="0027336B">
                  <w:rPr>
                    <w:rStyle w:val="Hyperlink"/>
                    <w:rFonts w:ascii="Arial" w:hAnsi="Arial"/>
                    <w:shadow/>
                    <w:color w:val="333333"/>
                    <w:u w:val="none"/>
                  </w:rPr>
                  <w:t>CƠ SỞ DỮ LIỆU</w:t>
                </w:r>
                <w:r w:rsidRPr="0027336B">
                  <w:rPr>
                    <w:rFonts w:ascii="Arial" w:hAnsi="Arial" w:cs="Arial"/>
                    <w:bCs w:val="0"/>
                    <w:shadow/>
                    <w:color w:val="FF0000"/>
                  </w:rPr>
                  <w:t xml:space="preserve"> </w:t>
                </w:r>
                <w:r w:rsidRPr="0027336B">
                  <w:rPr>
                    <w:rFonts w:ascii="Arial" w:hAnsi="Arial" w:cs="Arial"/>
                    <w:bCs w:val="0"/>
                    <w:shadow/>
                    <w:color w:val="F60000"/>
                  </w:rPr>
                  <w:t>VĂN BẢN PHÁP LUẬT</w:t>
                </w:r>
              </w:p>
              <w:p w:rsidR="00234E0E" w:rsidRDefault="00234E0E" w:rsidP="0027336B">
                <w:pPr>
                  <w:pStyle w:val="Heading3"/>
                  <w:shd w:val="clear" w:color="auto" w:fill="FFFFFF"/>
                  <w:spacing w:before="0" w:beforeAutospacing="0" w:after="0" w:afterAutospacing="0"/>
                  <w:rPr>
                    <w:rFonts w:ascii="Arial" w:hAnsi="Arial"/>
                    <w:shadow/>
                  </w:rPr>
                </w:pPr>
                <w:r>
                  <w:rPr>
                    <w:rFonts w:ascii="Arial" w:hAnsi="Arial"/>
                    <w:shadow/>
                  </w:rPr>
                  <w:t xml:space="preserve">                               L</w:t>
                </w:r>
                <w:r w:rsidRPr="0027336B">
                  <w:rPr>
                    <w:rFonts w:ascii="Arial" w:hAnsi="Arial"/>
                    <w:shadow/>
                  </w:rPr>
                  <w:t xml:space="preserve">ỚN NHẤT VIỆT </w:t>
                </w:r>
                <w:smartTag w:uri="urn:schemas-microsoft-com:office:smarttags" w:element="place">
                  <w:smartTag w:uri="urn:schemas-microsoft-com:office:smarttags" w:element="country-region">
                    <w:r w:rsidRPr="0027336B">
                      <w:rPr>
                        <w:rFonts w:ascii="Arial" w:hAnsi="Arial"/>
                        <w:shadow/>
                      </w:rPr>
                      <w:t>NAM</w:t>
                    </w:r>
                  </w:smartTag>
                </w:smartTag>
              </w:p>
              <w:p w:rsidR="00234E0E" w:rsidRPr="0027336B" w:rsidRDefault="00234E0E" w:rsidP="0027336B">
                <w:pPr>
                  <w:pStyle w:val="Heading3"/>
                  <w:shd w:val="clear" w:color="auto" w:fill="FFFFFF"/>
                  <w:spacing w:before="120" w:beforeAutospacing="0" w:after="0" w:afterAutospacing="0"/>
                  <w:jc w:val="center"/>
                  <w:rPr>
                    <w:rFonts w:ascii="Arial" w:hAnsi="Arial" w:cs="Arial"/>
                    <w:b w:val="0"/>
                    <w:bCs w:val="0"/>
                    <w:color w:val="222222"/>
                  </w:rPr>
                </w:pPr>
                <w:r w:rsidRPr="0027336B">
                  <w:rPr>
                    <w:rFonts w:ascii="Arial" w:hAnsi="Arial"/>
                    <w:shadow/>
                    <w:color w:val="F60000"/>
                    <w:sz w:val="20"/>
                    <w:szCs w:val="20"/>
                  </w:rPr>
                  <w:t>70.000</w:t>
                </w:r>
                <w:r w:rsidRPr="0027336B">
                  <w:rPr>
                    <w:rFonts w:ascii="Arial" w:hAnsi="Arial"/>
                    <w:shadow/>
                    <w:sz w:val="20"/>
                    <w:szCs w:val="20"/>
                  </w:rPr>
                  <w:t xml:space="preserve"> văn bản pháp luật</w:t>
                </w:r>
                <w:r>
                  <w:rPr>
                    <w:rFonts w:ascii="Arial" w:hAnsi="Arial"/>
                    <w:shadow/>
                    <w:sz w:val="20"/>
                    <w:szCs w:val="20"/>
                  </w:rPr>
                  <w:t xml:space="preserve"> và h</w:t>
                </w:r>
                <w:r w:rsidRPr="0027336B">
                  <w:rPr>
                    <w:rFonts w:ascii="Arial" w:hAnsi="Arial"/>
                    <w:shadow/>
                    <w:sz w:val="20"/>
                    <w:szCs w:val="20"/>
                  </w:rPr>
                  <w:t xml:space="preserve">ơn </w:t>
                </w:r>
                <w:r w:rsidRPr="0027336B">
                  <w:rPr>
                    <w:rFonts w:ascii="Arial" w:hAnsi="Arial"/>
                    <w:shadow/>
                    <w:color w:val="F60000"/>
                    <w:sz w:val="20"/>
                    <w:szCs w:val="20"/>
                  </w:rPr>
                  <w:t>7000</w:t>
                </w:r>
                <w:r w:rsidRPr="0027336B">
                  <w:rPr>
                    <w:rFonts w:ascii="Arial" w:hAnsi="Arial"/>
                    <w:shadow/>
                    <w:sz w:val="20"/>
                    <w:szCs w:val="20"/>
                  </w:rPr>
                  <w:t xml:space="preserve"> bản dịch tiếng Anh</w:t>
                </w:r>
              </w:p>
            </w:txbxContent>
          </v:textbox>
          <w10:wrap type="square"/>
        </v:shape>
      </w:pict>
    </w:r>
  </w:p>
  <w:p w:rsidR="00234E0E" w:rsidRDefault="00783B0C">
    <w:pPr>
      <w:pStyle w:val="Header"/>
    </w:pPr>
    <w:r>
      <w:rPr>
        <w:noProof/>
      </w:rPr>
      <w:drawing>
        <wp:inline distT="0" distB="0" distL="0" distR="0">
          <wp:extent cx="1762125" cy="685800"/>
          <wp:effectExtent l="19050" t="0" r="9525" b="0"/>
          <wp:docPr id="1" name="Picture 1" descr="luatvietna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atvietnam_logo"/>
                  <pic:cNvPicPr>
                    <a:picLocks noChangeAspect="1" noChangeArrowheads="1"/>
                  </pic:cNvPicPr>
                </pic:nvPicPr>
                <pic:blipFill>
                  <a:blip r:embed="rId1"/>
                  <a:srcRect/>
                  <a:stretch>
                    <a:fillRect/>
                  </a:stretch>
                </pic:blipFill>
                <pic:spPr bwMode="auto">
                  <a:xfrm>
                    <a:off x="0" y="0"/>
                    <a:ext cx="1762125"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D71"/>
    <w:multiLevelType w:val="hybridMultilevel"/>
    <w:tmpl w:val="D1F08E1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180E59"/>
    <w:multiLevelType w:val="multilevel"/>
    <w:tmpl w:val="09E4CED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6411C5E"/>
    <w:multiLevelType w:val="singleLevel"/>
    <w:tmpl w:val="0409000F"/>
    <w:lvl w:ilvl="0">
      <w:start w:val="1"/>
      <w:numFmt w:val="decimal"/>
      <w:lvlText w:val="%1."/>
      <w:lvlJc w:val="left"/>
      <w:pPr>
        <w:tabs>
          <w:tab w:val="num" w:pos="360"/>
        </w:tabs>
        <w:ind w:left="360" w:hanging="360"/>
      </w:pPr>
    </w:lvl>
  </w:abstractNum>
  <w:abstractNum w:abstractNumId="3">
    <w:nsid w:val="1382153E"/>
    <w:multiLevelType w:val="hybridMultilevel"/>
    <w:tmpl w:val="4BAC8FFA"/>
    <w:lvl w:ilvl="0" w:tplc="5E7EA0DC">
      <w:start w:val="1"/>
      <w:numFmt w:val="decimal"/>
      <w:lvlText w:val="%1."/>
      <w:lvlJc w:val="left"/>
      <w:pPr>
        <w:tabs>
          <w:tab w:val="num" w:pos="133"/>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A81F12"/>
    <w:multiLevelType w:val="singleLevel"/>
    <w:tmpl w:val="E8546EEC"/>
    <w:lvl w:ilvl="0">
      <w:start w:val="1"/>
      <w:numFmt w:val="bullet"/>
      <w:lvlText w:val="-"/>
      <w:lvlJc w:val="left"/>
      <w:pPr>
        <w:tabs>
          <w:tab w:val="num" w:pos="540"/>
        </w:tabs>
        <w:ind w:left="540" w:hanging="360"/>
      </w:pPr>
      <w:rPr>
        <w:rFonts w:ascii="Times New Roman" w:hAnsi="Times New Roman" w:hint="default"/>
      </w:rPr>
    </w:lvl>
  </w:abstractNum>
  <w:abstractNum w:abstractNumId="5">
    <w:nsid w:val="22F53E3B"/>
    <w:multiLevelType w:val="hybridMultilevel"/>
    <w:tmpl w:val="069039AC"/>
    <w:lvl w:ilvl="0" w:tplc="84FAF39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3D678B3"/>
    <w:multiLevelType w:val="multilevel"/>
    <w:tmpl w:val="662C10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A511B8A"/>
    <w:multiLevelType w:val="hybridMultilevel"/>
    <w:tmpl w:val="82DA7FE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9501FA"/>
    <w:multiLevelType w:val="hybridMultilevel"/>
    <w:tmpl w:val="3076A6A6"/>
    <w:lvl w:ilvl="0" w:tplc="1BD2A5D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3C0477"/>
    <w:multiLevelType w:val="multilevel"/>
    <w:tmpl w:val="AB5A3E9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numFmt w:val="none"/>
      <w:lvlText w:val=""/>
      <w:lvlJc w:val="left"/>
      <w:pPr>
        <w:tabs>
          <w:tab w:val="num" w:pos="360"/>
        </w:tabs>
      </w:p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nsid w:val="34781599"/>
    <w:multiLevelType w:val="hybridMultilevel"/>
    <w:tmpl w:val="86F024C4"/>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D1D38D7"/>
    <w:multiLevelType w:val="hybridMultilevel"/>
    <w:tmpl w:val="7CC643C8"/>
    <w:lvl w:ilvl="0" w:tplc="29D6403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C81C4A"/>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40F9637D"/>
    <w:multiLevelType w:val="multilevel"/>
    <w:tmpl w:val="16D8C94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numFmt w:val="none"/>
      <w:lvlText w:val=""/>
      <w:lvlJc w:val="left"/>
      <w:pPr>
        <w:tabs>
          <w:tab w:val="num" w:pos="360"/>
        </w:tabs>
        <w:ind w:left="0" w:firstLine="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nsid w:val="41617256"/>
    <w:multiLevelType w:val="singleLevel"/>
    <w:tmpl w:val="04090013"/>
    <w:lvl w:ilvl="0">
      <w:start w:val="1"/>
      <w:numFmt w:val="upperRoman"/>
      <w:lvlText w:val="%1."/>
      <w:lvlJc w:val="left"/>
      <w:pPr>
        <w:tabs>
          <w:tab w:val="num" w:pos="720"/>
        </w:tabs>
        <w:ind w:left="720" w:hanging="720"/>
      </w:pPr>
      <w:rPr>
        <w:rFonts w:hint="default"/>
      </w:rPr>
    </w:lvl>
  </w:abstractNum>
  <w:abstractNum w:abstractNumId="15">
    <w:nsid w:val="55D81A07"/>
    <w:multiLevelType w:val="hybridMultilevel"/>
    <w:tmpl w:val="F97A7A9E"/>
    <w:lvl w:ilvl="0" w:tplc="B644D4C4">
      <w:start w:val="2"/>
      <w:numFmt w:val="bullet"/>
      <w:lvlText w:val="-"/>
      <w:lvlJc w:val="left"/>
      <w:pPr>
        <w:tabs>
          <w:tab w:val="num" w:pos="1591"/>
        </w:tabs>
        <w:ind w:left="1591" w:hanging="885"/>
      </w:pPr>
      <w:rPr>
        <w:rFonts w:ascii="Times New Roman" w:eastAsia="Times New Roman" w:hAnsi="Times New Roman" w:cs="Times New Roman" w:hint="default"/>
      </w:rPr>
    </w:lvl>
    <w:lvl w:ilvl="1" w:tplc="04090003" w:tentative="1">
      <w:start w:val="1"/>
      <w:numFmt w:val="bullet"/>
      <w:lvlText w:val="o"/>
      <w:lvlJc w:val="left"/>
      <w:pPr>
        <w:tabs>
          <w:tab w:val="num" w:pos="1786"/>
        </w:tabs>
        <w:ind w:left="1786" w:hanging="360"/>
      </w:pPr>
      <w:rPr>
        <w:rFonts w:ascii="Courier New" w:hAnsi="Courier New" w:cs="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cs="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16">
    <w:nsid w:val="5C352332"/>
    <w:multiLevelType w:val="singleLevel"/>
    <w:tmpl w:val="E8546EEC"/>
    <w:lvl w:ilvl="0">
      <w:start w:val="1"/>
      <w:numFmt w:val="bullet"/>
      <w:lvlText w:val="-"/>
      <w:lvlJc w:val="left"/>
      <w:pPr>
        <w:tabs>
          <w:tab w:val="num" w:pos="540"/>
        </w:tabs>
        <w:ind w:left="540" w:hanging="360"/>
      </w:pPr>
      <w:rPr>
        <w:rFonts w:ascii="Times New Roman" w:hAnsi="Times New Roman" w:hint="default"/>
      </w:rPr>
    </w:lvl>
  </w:abstractNum>
  <w:abstractNum w:abstractNumId="17">
    <w:nsid w:val="5F620377"/>
    <w:multiLevelType w:val="hybridMultilevel"/>
    <w:tmpl w:val="3A8ED7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12C1E86"/>
    <w:multiLevelType w:val="multilevel"/>
    <w:tmpl w:val="B2B6A496"/>
    <w:lvl w:ilvl="0">
      <w:start w:val="1"/>
      <w:numFmt w:val="decimal"/>
      <w:lvlText w:val="%1"/>
      <w:lvlJc w:val="left"/>
      <w:pPr>
        <w:tabs>
          <w:tab w:val="num" w:pos="360"/>
        </w:tabs>
        <w:ind w:left="360" w:hanging="360"/>
      </w:pPr>
      <w:rPr>
        <w:rFonts w:hint="default"/>
        <w:i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9">
    <w:nsid w:val="62BA3F71"/>
    <w:multiLevelType w:val="hybridMultilevel"/>
    <w:tmpl w:val="46CC6F22"/>
    <w:lvl w:ilvl="0" w:tplc="637E5C52">
      <w:start w:val="3"/>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613247A"/>
    <w:multiLevelType w:val="hybridMultilevel"/>
    <w:tmpl w:val="073CE296"/>
    <w:lvl w:ilvl="0" w:tplc="2C3C879E">
      <w:start w:val="1"/>
      <w:numFmt w:val="decimal"/>
      <w:lvlText w:val="%1."/>
      <w:lvlJc w:val="left"/>
      <w:pPr>
        <w:tabs>
          <w:tab w:val="num" w:pos="133"/>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A9E0351"/>
    <w:multiLevelType w:val="multilevel"/>
    <w:tmpl w:val="EAAC67E0"/>
    <w:lvl w:ilvl="0">
      <w:start w:val="1"/>
      <w:numFmt w:val="decimal"/>
      <w:lvlText w:val="%1."/>
      <w:lvlJc w:val="left"/>
      <w:pPr>
        <w:tabs>
          <w:tab w:val="num" w:pos="360"/>
        </w:tabs>
        <w:ind w:left="360" w:hanging="360"/>
      </w:pPr>
      <w:rPr>
        <w:rFonts w:hint="default"/>
        <w:i w:val="0"/>
      </w:rPr>
    </w:lvl>
    <w:lvl w:ilvl="1">
      <w:start w:val="3"/>
      <w:numFmt w:val="bullet"/>
      <w:lvlText w:val="-"/>
      <w:lvlJc w:val="left"/>
      <w:pPr>
        <w:tabs>
          <w:tab w:val="num" w:pos="921"/>
        </w:tabs>
        <w:ind w:left="921"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2">
    <w:nsid w:val="6B8F196F"/>
    <w:multiLevelType w:val="multilevel"/>
    <w:tmpl w:val="0CE05928"/>
    <w:lvl w:ilvl="0">
      <w:start w:val="1"/>
      <w:numFmt w:val="decimal"/>
      <w:lvlText w:val="%1."/>
      <w:lvlJc w:val="left"/>
      <w:pPr>
        <w:tabs>
          <w:tab w:val="num" w:pos="360"/>
        </w:tabs>
        <w:ind w:left="360" w:hanging="360"/>
      </w:pPr>
      <w:rPr>
        <w:rFonts w:hint="default"/>
        <w:i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3">
    <w:nsid w:val="7883086B"/>
    <w:multiLevelType w:val="hybridMultilevel"/>
    <w:tmpl w:val="D94AAC4A"/>
    <w:lvl w:ilvl="0" w:tplc="58DC487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A032893"/>
    <w:multiLevelType w:val="singleLevel"/>
    <w:tmpl w:val="E8546EEC"/>
    <w:lvl w:ilvl="0">
      <w:start w:val="1"/>
      <w:numFmt w:val="bullet"/>
      <w:lvlText w:val="-"/>
      <w:lvlJc w:val="left"/>
      <w:pPr>
        <w:tabs>
          <w:tab w:val="num" w:pos="540"/>
        </w:tabs>
        <w:ind w:left="540" w:hanging="360"/>
      </w:pPr>
      <w:rPr>
        <w:rFonts w:ascii="Times New Roman" w:hAnsi="Times New Roman" w:hint="default"/>
      </w:rPr>
    </w:lvl>
  </w:abstractNum>
  <w:abstractNum w:abstractNumId="25">
    <w:nsid w:val="7B5C5C54"/>
    <w:multiLevelType w:val="multilevel"/>
    <w:tmpl w:val="B98CC45E"/>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DDB1353"/>
    <w:multiLevelType w:val="singleLevel"/>
    <w:tmpl w:val="E8546EEC"/>
    <w:lvl w:ilvl="0">
      <w:start w:val="1"/>
      <w:numFmt w:val="bullet"/>
      <w:lvlText w:val="-"/>
      <w:lvlJc w:val="left"/>
      <w:pPr>
        <w:tabs>
          <w:tab w:val="num" w:pos="540"/>
        </w:tabs>
        <w:ind w:left="540" w:hanging="360"/>
      </w:pPr>
      <w:rPr>
        <w:rFonts w:ascii="Times New Roman" w:hAnsi="Times New Roman" w:hint="default"/>
      </w:rPr>
    </w:lvl>
  </w:abstractNum>
  <w:abstractNum w:abstractNumId="27">
    <w:nsid w:val="7E084438"/>
    <w:multiLevelType w:val="multilevel"/>
    <w:tmpl w:val="D94E34C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8">
    <w:nsid w:val="7FFC40EA"/>
    <w:multiLevelType w:val="singleLevel"/>
    <w:tmpl w:val="E8546EEC"/>
    <w:lvl w:ilvl="0">
      <w:start w:val="1"/>
      <w:numFmt w:val="bullet"/>
      <w:lvlText w:val="-"/>
      <w:lvlJc w:val="left"/>
      <w:pPr>
        <w:tabs>
          <w:tab w:val="num" w:pos="540"/>
        </w:tabs>
        <w:ind w:left="540" w:hanging="360"/>
      </w:pPr>
      <w:rPr>
        <w:rFonts w:ascii="Times New Roman" w:hAnsi="Times New Roman" w:hint="default"/>
      </w:rPr>
    </w:lvl>
  </w:abstractNum>
  <w:num w:numId="1">
    <w:abstractNumId w:val="15"/>
  </w:num>
  <w:num w:numId="2">
    <w:abstractNumId w:val="8"/>
  </w:num>
  <w:num w:numId="3">
    <w:abstractNumId w:val="23"/>
  </w:num>
  <w:num w:numId="4">
    <w:abstractNumId w:val="10"/>
  </w:num>
  <w:num w:numId="5">
    <w:abstractNumId w:val="0"/>
  </w:num>
  <w:num w:numId="6">
    <w:abstractNumId w:val="5"/>
  </w:num>
  <w:num w:numId="7">
    <w:abstractNumId w:val="27"/>
  </w:num>
  <w:num w:numId="8">
    <w:abstractNumId w:val="19"/>
  </w:num>
  <w:num w:numId="9">
    <w:abstractNumId w:val="22"/>
  </w:num>
  <w:num w:numId="10">
    <w:abstractNumId w:val="18"/>
  </w:num>
  <w:num w:numId="11">
    <w:abstractNumId w:val="7"/>
  </w:num>
  <w:num w:numId="12">
    <w:abstractNumId w:val="6"/>
  </w:num>
  <w:num w:numId="13">
    <w:abstractNumId w:val="25"/>
  </w:num>
  <w:num w:numId="14">
    <w:abstractNumId w:val="9"/>
  </w:num>
  <w:num w:numId="15">
    <w:abstractNumId w:val="13"/>
  </w:num>
  <w:num w:numId="16">
    <w:abstractNumId w:val="20"/>
  </w:num>
  <w:num w:numId="17">
    <w:abstractNumId w:val="3"/>
  </w:num>
  <w:num w:numId="18">
    <w:abstractNumId w:val="1"/>
  </w:num>
  <w:num w:numId="19">
    <w:abstractNumId w:val="17"/>
  </w:num>
  <w:num w:numId="20">
    <w:abstractNumId w:val="12"/>
  </w:num>
  <w:num w:numId="21">
    <w:abstractNumId w:val="21"/>
  </w:num>
  <w:num w:numId="22">
    <w:abstractNumId w:val="14"/>
  </w:num>
  <w:num w:numId="23">
    <w:abstractNumId w:val="11"/>
  </w:num>
  <w:num w:numId="24">
    <w:abstractNumId w:val="2"/>
  </w:num>
  <w:num w:numId="25">
    <w:abstractNumId w:val="24"/>
  </w:num>
  <w:num w:numId="26">
    <w:abstractNumId w:val="16"/>
  </w:num>
  <w:num w:numId="27">
    <w:abstractNumId w:val="28"/>
  </w:num>
  <w:num w:numId="28">
    <w:abstractNumId w:val="4"/>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0C72CC"/>
    <w:rsid w:val="00077727"/>
    <w:rsid w:val="000B2113"/>
    <w:rsid w:val="000C72CC"/>
    <w:rsid w:val="000E0B38"/>
    <w:rsid w:val="00101C14"/>
    <w:rsid w:val="0013074D"/>
    <w:rsid w:val="001C090B"/>
    <w:rsid w:val="002339CF"/>
    <w:rsid w:val="00234E0E"/>
    <w:rsid w:val="0027336B"/>
    <w:rsid w:val="002B3B81"/>
    <w:rsid w:val="0030060C"/>
    <w:rsid w:val="004605ED"/>
    <w:rsid w:val="00506763"/>
    <w:rsid w:val="006156FB"/>
    <w:rsid w:val="00665B86"/>
    <w:rsid w:val="006A25AC"/>
    <w:rsid w:val="00740452"/>
    <w:rsid w:val="00741FBB"/>
    <w:rsid w:val="00783B0C"/>
    <w:rsid w:val="007B0E2F"/>
    <w:rsid w:val="007F7875"/>
    <w:rsid w:val="008D44E2"/>
    <w:rsid w:val="0095586E"/>
    <w:rsid w:val="00976BDB"/>
    <w:rsid w:val="00B136EB"/>
    <w:rsid w:val="00C207C6"/>
    <w:rsid w:val="00C86E5D"/>
    <w:rsid w:val="00E30431"/>
    <w:rsid w:val="00E87B3A"/>
    <w:rsid w:val="00FB7CAB"/>
    <w:rsid w:val="00FF2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1C14"/>
    <w:rPr>
      <w:sz w:val="24"/>
      <w:szCs w:val="24"/>
    </w:rPr>
  </w:style>
  <w:style w:type="paragraph" w:styleId="Heading1">
    <w:name w:val="heading 1"/>
    <w:basedOn w:val="Normal"/>
    <w:next w:val="Normal"/>
    <w:link w:val="Heading1Char"/>
    <w:qFormat/>
    <w:rsid w:val="004605E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34E0E"/>
    <w:pPr>
      <w:keepNext/>
      <w:spacing w:before="240" w:after="60"/>
      <w:outlineLvl w:val="1"/>
    </w:pPr>
    <w:rPr>
      <w:rFonts w:ascii="Arial" w:hAnsi="Arial" w:cs="Arial"/>
      <w:b/>
      <w:bCs/>
      <w:i/>
      <w:iCs/>
      <w:sz w:val="28"/>
      <w:szCs w:val="28"/>
    </w:rPr>
  </w:style>
  <w:style w:type="paragraph" w:styleId="Heading3">
    <w:name w:val="heading 3"/>
    <w:basedOn w:val="Normal"/>
    <w:link w:val="Heading3Char"/>
    <w:qFormat/>
    <w:rsid w:val="0027336B"/>
    <w:pPr>
      <w:spacing w:before="100" w:beforeAutospacing="1" w:after="100" w:afterAutospacing="1"/>
      <w:outlineLvl w:val="2"/>
    </w:pPr>
    <w:rPr>
      <w:b/>
      <w:bCs/>
      <w:sz w:val="27"/>
      <w:szCs w:val="27"/>
    </w:rPr>
  </w:style>
  <w:style w:type="paragraph" w:styleId="Heading4">
    <w:name w:val="heading 4"/>
    <w:basedOn w:val="Normal"/>
    <w:next w:val="Normal"/>
    <w:qFormat/>
    <w:rsid w:val="00234E0E"/>
    <w:pPr>
      <w:keepNext/>
      <w:spacing w:before="240" w:after="60"/>
      <w:outlineLvl w:val="3"/>
    </w:pPr>
    <w:rPr>
      <w:b/>
      <w:bCs/>
      <w:sz w:val="28"/>
      <w:szCs w:val="28"/>
    </w:rPr>
  </w:style>
  <w:style w:type="paragraph" w:styleId="Heading5">
    <w:name w:val="heading 5"/>
    <w:basedOn w:val="Normal"/>
    <w:next w:val="Normal"/>
    <w:qFormat/>
    <w:rsid w:val="008D44E2"/>
    <w:pPr>
      <w:spacing w:before="240" w:after="60"/>
      <w:outlineLvl w:val="4"/>
    </w:pPr>
    <w:rPr>
      <w:b/>
      <w:bCs/>
      <w:i/>
      <w:iCs/>
      <w:sz w:val="26"/>
      <w:szCs w:val="26"/>
    </w:rPr>
  </w:style>
  <w:style w:type="paragraph" w:styleId="Heading6">
    <w:name w:val="heading 6"/>
    <w:basedOn w:val="Normal"/>
    <w:next w:val="Normal"/>
    <w:qFormat/>
    <w:rsid w:val="00234E0E"/>
    <w:pPr>
      <w:spacing w:before="240" w:after="60"/>
      <w:outlineLvl w:val="5"/>
    </w:pPr>
    <w:rPr>
      <w:b/>
      <w:bCs/>
      <w:sz w:val="22"/>
      <w:szCs w:val="22"/>
    </w:rPr>
  </w:style>
  <w:style w:type="paragraph" w:styleId="Heading7">
    <w:name w:val="heading 7"/>
    <w:basedOn w:val="Normal"/>
    <w:next w:val="Normal"/>
    <w:qFormat/>
    <w:rsid w:val="008D44E2"/>
    <w:pPr>
      <w:spacing w:before="240" w:after="60"/>
      <w:outlineLvl w:val="6"/>
    </w:pPr>
  </w:style>
  <w:style w:type="paragraph" w:styleId="Heading9">
    <w:name w:val="heading 9"/>
    <w:basedOn w:val="Normal"/>
    <w:next w:val="Normal"/>
    <w:qFormat/>
    <w:rsid w:val="00234E0E"/>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C72CC"/>
    <w:pPr>
      <w:tabs>
        <w:tab w:val="center" w:pos="4320"/>
        <w:tab w:val="right" w:pos="8640"/>
      </w:tabs>
    </w:pPr>
  </w:style>
  <w:style w:type="paragraph" w:styleId="Footer">
    <w:name w:val="footer"/>
    <w:basedOn w:val="Normal"/>
    <w:rsid w:val="000C72CC"/>
    <w:pPr>
      <w:tabs>
        <w:tab w:val="center" w:pos="4320"/>
        <w:tab w:val="right" w:pos="8640"/>
      </w:tabs>
    </w:pPr>
  </w:style>
  <w:style w:type="character" w:customStyle="1" w:styleId="apple-converted-space">
    <w:name w:val="apple-converted-space"/>
    <w:basedOn w:val="DefaultParagraphFont"/>
    <w:rsid w:val="000C72CC"/>
  </w:style>
  <w:style w:type="character" w:styleId="Hyperlink">
    <w:name w:val="Hyperlink"/>
    <w:basedOn w:val="DefaultParagraphFont"/>
    <w:rsid w:val="000C72CC"/>
    <w:rPr>
      <w:color w:val="0000FF"/>
      <w:u w:val="single"/>
    </w:rPr>
  </w:style>
  <w:style w:type="character" w:styleId="Emphasis">
    <w:name w:val="Emphasis"/>
    <w:basedOn w:val="DefaultParagraphFont"/>
    <w:qFormat/>
    <w:rsid w:val="0027336B"/>
    <w:rPr>
      <w:i/>
      <w:iCs/>
    </w:rPr>
  </w:style>
  <w:style w:type="character" w:styleId="FollowedHyperlink">
    <w:name w:val="FollowedHyperlink"/>
    <w:basedOn w:val="DefaultParagraphFont"/>
    <w:rsid w:val="0027336B"/>
    <w:rPr>
      <w:color w:val="800080"/>
      <w:u w:val="single"/>
    </w:rPr>
  </w:style>
  <w:style w:type="character" w:styleId="PageNumber">
    <w:name w:val="page number"/>
    <w:basedOn w:val="DefaultParagraphFont"/>
    <w:rsid w:val="002B3B81"/>
  </w:style>
  <w:style w:type="table" w:styleId="TableGrid">
    <w:name w:val="Table Grid"/>
    <w:basedOn w:val="TableNormal"/>
    <w:rsid w:val="002339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4605ED"/>
    <w:pPr>
      <w:spacing w:after="160" w:line="240" w:lineRule="exact"/>
    </w:pPr>
    <w:rPr>
      <w:rFonts w:ascii="Tahoma" w:eastAsia="PMingLiU" w:hAnsi="Tahoma"/>
      <w:sz w:val="20"/>
      <w:szCs w:val="20"/>
    </w:rPr>
  </w:style>
  <w:style w:type="character" w:customStyle="1" w:styleId="maintopspecialheader">
    <w:name w:val="maintopspecial_header"/>
    <w:basedOn w:val="DefaultParagraphFont"/>
    <w:rsid w:val="004605ED"/>
  </w:style>
  <w:style w:type="character" w:styleId="Strong">
    <w:name w:val="Strong"/>
    <w:basedOn w:val="DefaultParagraphFont"/>
    <w:qFormat/>
    <w:rsid w:val="004605ED"/>
    <w:rPr>
      <w:b/>
      <w:bCs/>
    </w:rPr>
  </w:style>
  <w:style w:type="paragraph" w:styleId="NormalWeb">
    <w:name w:val="Normal (Web)"/>
    <w:basedOn w:val="Normal"/>
    <w:rsid w:val="004605ED"/>
    <w:pPr>
      <w:spacing w:before="100" w:beforeAutospacing="1" w:after="100" w:afterAutospacing="1"/>
    </w:pPr>
  </w:style>
  <w:style w:type="paragraph" w:styleId="CommentText">
    <w:name w:val="annotation text"/>
    <w:basedOn w:val="Normal"/>
    <w:semiHidden/>
    <w:rsid w:val="004605ED"/>
    <w:rPr>
      <w:sz w:val="20"/>
      <w:szCs w:val="20"/>
    </w:rPr>
  </w:style>
  <w:style w:type="paragraph" w:styleId="BodyText">
    <w:name w:val="Body Text"/>
    <w:basedOn w:val="Normal"/>
    <w:rsid w:val="004605ED"/>
    <w:pPr>
      <w:jc w:val="center"/>
    </w:pPr>
    <w:rPr>
      <w:sz w:val="28"/>
      <w:szCs w:val="20"/>
    </w:rPr>
  </w:style>
  <w:style w:type="paragraph" w:styleId="BodyText2">
    <w:name w:val="Body Text 2"/>
    <w:basedOn w:val="Normal"/>
    <w:link w:val="BodyText2Char"/>
    <w:rsid w:val="004605ED"/>
    <w:pPr>
      <w:tabs>
        <w:tab w:val="left" w:pos="709"/>
      </w:tabs>
      <w:ind w:right="105"/>
      <w:jc w:val="both"/>
    </w:pPr>
    <w:rPr>
      <w:sz w:val="28"/>
    </w:rPr>
  </w:style>
  <w:style w:type="character" w:customStyle="1" w:styleId="BodyText2Char">
    <w:name w:val="Body Text 2 Char"/>
    <w:basedOn w:val="DefaultParagraphFont"/>
    <w:link w:val="BodyText2"/>
    <w:semiHidden/>
    <w:locked/>
    <w:rsid w:val="004605ED"/>
    <w:rPr>
      <w:sz w:val="28"/>
      <w:szCs w:val="24"/>
      <w:lang w:val="en-US" w:eastAsia="en-US" w:bidi="ar-SA"/>
    </w:rPr>
  </w:style>
  <w:style w:type="paragraph" w:customStyle="1" w:styleId="CharChar1CharCharCharCharCharCharCharCharCharCharCharCharChar">
    <w:name w:val=" Char Char1 Char Char Char Char Char Char Char Char Char Char Char Char Char"/>
    <w:basedOn w:val="Normal"/>
    <w:rsid w:val="004605ED"/>
    <w:pPr>
      <w:pageBreakBefore/>
      <w:spacing w:before="100" w:beforeAutospacing="1" w:after="100" w:afterAutospacing="1"/>
    </w:pPr>
    <w:rPr>
      <w:rFonts w:ascii="Tahoma" w:hAnsi="Tahoma"/>
      <w:sz w:val="20"/>
      <w:szCs w:val="20"/>
    </w:rPr>
  </w:style>
  <w:style w:type="character" w:customStyle="1" w:styleId="Heading3Char">
    <w:name w:val="Heading 3 Char"/>
    <w:basedOn w:val="DefaultParagraphFont"/>
    <w:link w:val="Heading3"/>
    <w:rsid w:val="004605ED"/>
    <w:rPr>
      <w:b/>
      <w:bCs/>
      <w:sz w:val="27"/>
      <w:szCs w:val="27"/>
      <w:lang w:val="en-US" w:eastAsia="en-US" w:bidi="ar-SA"/>
    </w:rPr>
  </w:style>
  <w:style w:type="paragraph" w:styleId="BodyTextIndent2">
    <w:name w:val="Body Text Indent 2"/>
    <w:basedOn w:val="Normal"/>
    <w:rsid w:val="004605ED"/>
    <w:pPr>
      <w:spacing w:before="120"/>
      <w:ind w:firstLine="720"/>
      <w:jc w:val="both"/>
    </w:pPr>
    <w:rPr>
      <w:rFonts w:ascii=".VnTime" w:hAnsi=".VnTime"/>
      <w:b/>
      <w:bCs/>
      <w:i/>
      <w:iCs/>
      <w:noProof/>
      <w:sz w:val="28"/>
      <w:szCs w:val="28"/>
      <w:lang w:val="pt-BR"/>
    </w:rPr>
  </w:style>
  <w:style w:type="character" w:customStyle="1" w:styleId="CharChar3">
    <w:name w:val=" Char Char3"/>
    <w:basedOn w:val="DefaultParagraphFont"/>
    <w:rsid w:val="004605ED"/>
    <w:rPr>
      <w:rFonts w:ascii=".VnTime" w:hAnsi=".VnTime"/>
      <w:b/>
      <w:bCs/>
      <w:iCs/>
      <w:sz w:val="28"/>
    </w:rPr>
  </w:style>
  <w:style w:type="paragraph" w:customStyle="1" w:styleId="CharCharCharChar0">
    <w:name w:val=" Char Char Char Char"/>
    <w:basedOn w:val="Normal"/>
    <w:rsid w:val="004605ED"/>
    <w:pPr>
      <w:spacing w:after="160" w:line="240" w:lineRule="exact"/>
    </w:pPr>
    <w:rPr>
      <w:rFonts w:ascii="Tahoma" w:eastAsia="PMingLiU" w:hAnsi="Tahoma"/>
      <w:sz w:val="20"/>
      <w:szCs w:val="20"/>
    </w:rPr>
  </w:style>
  <w:style w:type="paragraph" w:customStyle="1" w:styleId="ListParagraph1">
    <w:name w:val="List Paragraph1"/>
    <w:basedOn w:val="Normal"/>
    <w:rsid w:val="004605ED"/>
    <w:pPr>
      <w:spacing w:after="200" w:line="276" w:lineRule="auto"/>
      <w:ind w:left="720"/>
    </w:pPr>
    <w:rPr>
      <w:rFonts w:ascii="Calibri" w:hAnsi="Calibri"/>
      <w:sz w:val="22"/>
      <w:szCs w:val="22"/>
    </w:rPr>
  </w:style>
  <w:style w:type="character" w:customStyle="1" w:styleId="Heading1Char">
    <w:name w:val="Heading 1 Char"/>
    <w:basedOn w:val="DefaultParagraphFont"/>
    <w:link w:val="Heading1"/>
    <w:rsid w:val="004605ED"/>
    <w:rPr>
      <w:rFonts w:ascii="Arial" w:hAnsi="Arial" w:cs="Arial"/>
      <w:b/>
      <w:bCs/>
      <w:kern w:val="32"/>
      <w:sz w:val="32"/>
      <w:szCs w:val="32"/>
      <w:lang w:val="en-US" w:eastAsia="en-US" w:bidi="ar-SA"/>
    </w:rPr>
  </w:style>
  <w:style w:type="paragraph" w:styleId="BodyText3">
    <w:name w:val="Body Text 3"/>
    <w:basedOn w:val="Normal"/>
    <w:rsid w:val="008D44E2"/>
    <w:pPr>
      <w:spacing w:after="120"/>
    </w:pPr>
    <w:rPr>
      <w:sz w:val="16"/>
      <w:szCs w:val="16"/>
    </w:rPr>
  </w:style>
  <w:style w:type="paragraph" w:customStyle="1" w:styleId="Char">
    <w:name w:val=" Char"/>
    <w:basedOn w:val="Normal"/>
    <w:rsid w:val="008D44E2"/>
    <w:rPr>
      <w:rFonts w:ascii="Arial" w:hAnsi="Arial"/>
      <w:sz w:val="22"/>
      <w:szCs w:val="20"/>
      <w:lang w:val="en-AU"/>
    </w:rPr>
  </w:style>
  <w:style w:type="paragraph" w:styleId="BodyTextIndent">
    <w:name w:val="Body Text Indent"/>
    <w:basedOn w:val="Normal"/>
    <w:rsid w:val="008D44E2"/>
    <w:pPr>
      <w:spacing w:after="120"/>
      <w:ind w:left="360"/>
    </w:pPr>
  </w:style>
  <w:style w:type="paragraph" w:styleId="BodyTextIndent3">
    <w:name w:val="Body Text Indent 3"/>
    <w:basedOn w:val="Normal"/>
    <w:rsid w:val="008D44E2"/>
    <w:pPr>
      <w:spacing w:after="120"/>
      <w:ind w:left="360"/>
    </w:pPr>
    <w:rPr>
      <w:sz w:val="16"/>
      <w:szCs w:val="16"/>
    </w:rPr>
  </w:style>
  <w:style w:type="paragraph" w:styleId="Title">
    <w:name w:val="Title"/>
    <w:basedOn w:val="Normal"/>
    <w:qFormat/>
    <w:rsid w:val="00234E0E"/>
    <w:pPr>
      <w:spacing w:after="120"/>
      <w:jc w:val="center"/>
    </w:pPr>
    <w:rPr>
      <w:b/>
      <w:bCs/>
      <w:sz w:val="28"/>
      <w:szCs w:val="28"/>
    </w:rPr>
  </w:style>
  <w:style w:type="paragraph" w:customStyle="1" w:styleId="abc">
    <w:name w:val="abc"/>
    <w:basedOn w:val="Normal"/>
    <w:rsid w:val="00234E0E"/>
    <w:rPr>
      <w:rFonts w:ascii=".VnTime" w:hAnsi=".VnTime"/>
      <w:sz w:val="28"/>
      <w:szCs w:val="20"/>
    </w:rPr>
  </w:style>
  <w:style w:type="paragraph" w:customStyle="1" w:styleId="mso">
    <w:name w:val="mso"/>
    <w:rsid w:val="00234E0E"/>
    <w:rPr>
      <w:sz w:val="18"/>
      <w:szCs w:val="18"/>
    </w:rPr>
  </w:style>
  <w:style w:type="paragraph" w:styleId="Subtitle">
    <w:name w:val="Subtitle"/>
    <w:basedOn w:val="Normal"/>
    <w:qFormat/>
    <w:rsid w:val="00234E0E"/>
    <w:pPr>
      <w:tabs>
        <w:tab w:val="left" w:pos="3975"/>
      </w:tabs>
      <w:jc w:val="right"/>
    </w:pPr>
    <w:rPr>
      <w:b/>
      <w:i/>
    </w:rPr>
  </w:style>
</w:styles>
</file>

<file path=word/webSettings.xml><?xml version="1.0" encoding="utf-8"?>
<w:webSettings xmlns:r="http://schemas.openxmlformats.org/officeDocument/2006/relationships" xmlns:w="http://schemas.openxmlformats.org/wordprocessingml/2006/main">
  <w:divs>
    <w:div w:id="437677839">
      <w:bodyDiv w:val="1"/>
      <w:marLeft w:val="0"/>
      <w:marRight w:val="0"/>
      <w:marTop w:val="0"/>
      <w:marBottom w:val="0"/>
      <w:divBdr>
        <w:top w:val="none" w:sz="0" w:space="0" w:color="auto"/>
        <w:left w:val="none" w:sz="0" w:space="0" w:color="auto"/>
        <w:bottom w:val="none" w:sz="0" w:space="0" w:color="auto"/>
        <w:right w:val="none" w:sz="0" w:space="0" w:color="auto"/>
      </w:divBdr>
    </w:div>
    <w:div w:id="1034502182">
      <w:bodyDiv w:val="1"/>
      <w:marLeft w:val="0"/>
      <w:marRight w:val="0"/>
      <w:marTop w:val="0"/>
      <w:marBottom w:val="0"/>
      <w:divBdr>
        <w:top w:val="none" w:sz="0" w:space="0" w:color="auto"/>
        <w:left w:val="none" w:sz="0" w:space="0" w:color="auto"/>
        <w:bottom w:val="none" w:sz="0" w:space="0" w:color="auto"/>
        <w:right w:val="none" w:sz="0" w:space="0" w:color="auto"/>
      </w:divBdr>
      <w:divsChild>
        <w:div w:id="21747627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
  <LinksUpToDate>false</LinksUpToDate>
  <CharactersWithSpaces>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subject/>
  <dc:creator>Vinaghost.Com</dc:creator>
  <cp:keywords/>
  <cp:lastModifiedBy>dgsdagsdg</cp:lastModifiedBy>
  <cp:revision>2</cp:revision>
  <dcterms:created xsi:type="dcterms:W3CDTF">2012-09-27T03:37:00Z</dcterms:created>
  <dcterms:modified xsi:type="dcterms:W3CDTF">2012-09-27T03:37:00Z</dcterms:modified>
</cp:coreProperties>
</file>