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0"/>
        <w:gridCol w:w="6498"/>
      </w:tblGrid>
      <w:tr w:rsidR="0083392F" w:rsidRPr="00D079EC" w:rsidTr="00723E24">
        <w:trPr>
          <w:tblCellSpacing w:w="0" w:type="dxa"/>
        </w:trPr>
        <w:tc>
          <w:tcPr>
            <w:tcW w:w="1502" w:type="pct"/>
            <w:shd w:val="clear" w:color="auto" w:fill="FFFFFF"/>
            <w:tcMar>
              <w:top w:w="0" w:type="dxa"/>
              <w:left w:w="108" w:type="dxa"/>
              <w:bottom w:w="0" w:type="dxa"/>
              <w:right w:w="108" w:type="dxa"/>
            </w:tcMar>
          </w:tcPr>
          <w:p w:rsidR="0013708D" w:rsidRPr="00DE59E2" w:rsidRDefault="0013708D" w:rsidP="0013708D">
            <w:pPr>
              <w:spacing w:before="120" w:after="120" w:line="234" w:lineRule="atLeast"/>
              <w:jc w:val="center"/>
              <w:rPr>
                <w:rFonts w:eastAsia="Times New Roman"/>
                <w:noProof/>
                <w:sz w:val="18"/>
                <w:szCs w:val="18"/>
                <w:lang w:val="vi-VN"/>
              </w:rPr>
            </w:pPr>
          </w:p>
        </w:tc>
        <w:tc>
          <w:tcPr>
            <w:tcW w:w="3498" w:type="pct"/>
            <w:shd w:val="clear" w:color="auto" w:fill="FFFFFF"/>
            <w:tcMar>
              <w:top w:w="0" w:type="dxa"/>
              <w:left w:w="108" w:type="dxa"/>
              <w:bottom w:w="0" w:type="dxa"/>
              <w:right w:w="108" w:type="dxa"/>
            </w:tcMar>
            <w:hideMark/>
          </w:tcPr>
          <w:p w:rsidR="0013708D" w:rsidRPr="00DE59E2" w:rsidRDefault="00723E24" w:rsidP="00723E24">
            <w:pPr>
              <w:spacing w:before="120" w:after="120" w:line="234" w:lineRule="atLeast"/>
              <w:jc w:val="center"/>
              <w:rPr>
                <w:rFonts w:eastAsia="Times New Roman"/>
                <w:noProof/>
                <w:lang w:val="vi-VN"/>
              </w:rPr>
            </w:pPr>
            <w:r w:rsidRPr="00DE59E2">
              <w:rPr>
                <w:rFonts w:eastAsia="Times New Roman"/>
                <w:b/>
                <w:bCs/>
                <w:noProof/>
              </w:rPr>
              <mc:AlternateContent>
                <mc:Choice Requires="wps">
                  <w:drawing>
                    <wp:anchor distT="0" distB="0" distL="114300" distR="114300" simplePos="0" relativeHeight="251656192" behindDoc="0" locked="0" layoutInCell="1" allowOverlap="1" wp14:anchorId="19392369" wp14:editId="40103947">
                      <wp:simplePos x="0" y="0"/>
                      <wp:positionH relativeFrom="column">
                        <wp:posOffset>948055</wp:posOffset>
                      </wp:positionH>
                      <wp:positionV relativeFrom="paragraph">
                        <wp:posOffset>499110</wp:posOffset>
                      </wp:positionV>
                      <wp:extent cx="21082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4.65pt,39.3pt" to="240.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" strokecolor="black [3040]"/>
                  </w:pict>
                </mc:Fallback>
              </mc:AlternateContent>
            </w:r>
            <w:r w:rsidR="0013708D" w:rsidRPr="00DE59E2">
              <w:rPr>
                <w:rFonts w:eastAsia="Times New Roman"/>
                <w:b/>
                <w:bCs/>
                <w:noProof/>
                <w:lang w:val="vi-VN"/>
              </w:rPr>
              <w:t>CỘNG HÒA XÃ HỘI CHỦ NGHĨA VIỆT NAM</w:t>
            </w:r>
            <w:r w:rsidR="0013708D" w:rsidRPr="00DE59E2">
              <w:rPr>
                <w:rFonts w:eastAsia="Times New Roman"/>
                <w:b/>
                <w:bCs/>
                <w:noProof/>
                <w:lang w:val="vi-VN"/>
              </w:rPr>
              <w:br/>
              <w:t>Độc lập - Tự do - Hạnh phúc</w:t>
            </w:r>
            <w:r w:rsidR="0013708D" w:rsidRPr="00DE59E2">
              <w:rPr>
                <w:rFonts w:eastAsia="Times New Roman"/>
                <w:b/>
                <w:bCs/>
                <w:noProof/>
                <w:lang w:val="vi-VN"/>
              </w:rPr>
              <w:br/>
            </w:r>
            <w:bookmarkStart w:id="0" w:name="_GoBack"/>
            <w:bookmarkEnd w:id="0"/>
          </w:p>
        </w:tc>
      </w:tr>
    </w:tbl>
    <w:p w:rsidR="0013708D" w:rsidRPr="00DE59E2" w:rsidRDefault="0013708D" w:rsidP="0013708D">
      <w:pPr>
        <w:shd w:val="clear" w:color="auto" w:fill="FFFFFF"/>
        <w:spacing w:before="120" w:after="120" w:line="234" w:lineRule="atLeast"/>
        <w:rPr>
          <w:rFonts w:eastAsia="Times New Roman"/>
          <w:noProof/>
          <w:sz w:val="18"/>
          <w:szCs w:val="18"/>
          <w:lang w:val="vi-VN"/>
        </w:rPr>
      </w:pPr>
      <w:r w:rsidRPr="00DE59E2">
        <w:rPr>
          <w:rFonts w:eastAsia="Times New Roman"/>
          <w:noProof/>
          <w:sz w:val="20"/>
          <w:szCs w:val="20"/>
          <w:lang w:val="vi-VN"/>
        </w:rPr>
        <w:t> </w:t>
      </w:r>
    </w:p>
    <w:p w:rsidR="0013708D" w:rsidRPr="00DE59E2" w:rsidRDefault="0013708D" w:rsidP="00DE59E2">
      <w:pPr>
        <w:shd w:val="clear" w:color="auto" w:fill="FFFFFF"/>
        <w:spacing w:beforeLines="50" w:before="120" w:after="0" w:line="240" w:lineRule="auto"/>
        <w:contextualSpacing/>
        <w:jc w:val="center"/>
        <w:rPr>
          <w:rFonts w:eastAsia="Times New Roman"/>
          <w:noProof/>
          <w:lang w:val="vi-VN"/>
        </w:rPr>
      </w:pPr>
      <w:bookmarkStart w:id="1" w:name="loai_1"/>
      <w:r w:rsidRPr="00DE59E2">
        <w:rPr>
          <w:rFonts w:eastAsia="Times New Roman"/>
          <w:b/>
          <w:bCs/>
          <w:noProof/>
          <w:lang w:val="vi-VN"/>
        </w:rPr>
        <w:t>THÔNG TƯ</w:t>
      </w:r>
      <w:bookmarkEnd w:id="1"/>
    </w:p>
    <w:p w:rsidR="00723E24" w:rsidRDefault="008F5FCE" w:rsidP="00DE59E2">
      <w:pPr>
        <w:shd w:val="clear" w:color="auto" w:fill="FFFFFF"/>
        <w:spacing w:beforeLines="50" w:before="120" w:after="360" w:line="240" w:lineRule="auto"/>
        <w:contextualSpacing/>
        <w:jc w:val="center"/>
        <w:rPr>
          <w:rFonts w:eastAsia="Times New Roman"/>
          <w:b/>
          <w:iCs/>
          <w:noProof/>
          <w:lang w:val="vi-VN"/>
        </w:rPr>
      </w:pPr>
      <w:r w:rsidRPr="00DE59E2">
        <w:rPr>
          <w:rFonts w:eastAsia="Times New Roman"/>
          <w:b/>
          <w:iCs/>
          <w:noProof/>
          <w:lang w:val="vi-VN"/>
        </w:rPr>
        <w:t xml:space="preserve">Ban hành </w:t>
      </w:r>
      <w:r w:rsidR="00BC4A8E" w:rsidRPr="00DE59E2">
        <w:rPr>
          <w:rFonts w:eastAsia="Times New Roman"/>
          <w:b/>
          <w:iCs/>
          <w:noProof/>
          <w:lang w:val="vi-VN"/>
        </w:rPr>
        <w:t>Q</w:t>
      </w:r>
      <w:r w:rsidRPr="00DE59E2">
        <w:rPr>
          <w:rFonts w:eastAsia="Times New Roman"/>
          <w:b/>
          <w:iCs/>
          <w:noProof/>
          <w:lang w:val="vi-VN"/>
        </w:rPr>
        <w:t xml:space="preserve">uy chuẩn kỹ thuật quốc gia về </w:t>
      </w:r>
      <w:r w:rsidR="009B4852" w:rsidRPr="00DE59E2">
        <w:rPr>
          <w:rFonts w:eastAsia="Times New Roman"/>
          <w:b/>
          <w:iCs/>
          <w:noProof/>
          <w:lang w:val="vi-VN"/>
        </w:rPr>
        <w:t>d</w:t>
      </w:r>
      <w:r w:rsidRPr="00DE59E2">
        <w:rPr>
          <w:rFonts w:eastAsia="Times New Roman"/>
          <w:b/>
          <w:iCs/>
          <w:noProof/>
          <w:lang w:val="vi-VN"/>
        </w:rPr>
        <w:t>ây dẫn tín hiệu nổ dùng cho kíp nổ vi sai phi điện an toàn sử dụng trong mỏ hầm lò có khí Mêtan</w:t>
      </w:r>
    </w:p>
    <w:p w:rsidR="0083392F" w:rsidRPr="00DE59E2" w:rsidRDefault="00157E90" w:rsidP="00DE59E2">
      <w:pPr>
        <w:shd w:val="clear" w:color="auto" w:fill="FFFFFF"/>
        <w:spacing w:beforeLines="50" w:before="120" w:after="360" w:line="240" w:lineRule="auto"/>
        <w:contextualSpacing/>
        <w:jc w:val="center"/>
        <w:rPr>
          <w:rFonts w:eastAsia="Times New Roman"/>
          <w:b/>
          <w:iCs/>
          <w:noProof/>
          <w:lang w:val="vi-VN"/>
        </w:rPr>
      </w:pPr>
      <w:r w:rsidRPr="00DE59E2">
        <w:rPr>
          <w:rFonts w:eastAsia="Times New Roman"/>
          <w:b/>
          <w:iCs/>
          <w:noProof/>
        </w:rPr>
        <mc:AlternateContent>
          <mc:Choice Requires="wps">
            <w:drawing>
              <wp:anchor distT="0" distB="0" distL="114300" distR="114300" simplePos="0" relativeHeight="251660288" behindDoc="0" locked="0" layoutInCell="1" allowOverlap="1" wp14:anchorId="2123DB78" wp14:editId="77A746AF">
                <wp:simplePos x="0" y="0"/>
                <wp:positionH relativeFrom="column">
                  <wp:posOffset>2172022</wp:posOffset>
                </wp:positionH>
                <wp:positionV relativeFrom="paragraph">
                  <wp:posOffset>66855</wp:posOffset>
                </wp:positionV>
                <wp:extent cx="1380227"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80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05pt,5.25pt" to="279.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4/tQ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" strokecolor="black [3040]"/>
            </w:pict>
          </mc:Fallback>
        </mc:AlternateContent>
      </w:r>
    </w:p>
    <w:p w:rsidR="003E0074" w:rsidRPr="0083392F" w:rsidRDefault="003E0074" w:rsidP="00DE59E2">
      <w:pPr>
        <w:spacing w:before="120" w:after="120" w:line="340" w:lineRule="exact"/>
        <w:ind w:firstLine="567"/>
        <w:jc w:val="both"/>
        <w:rPr>
          <w:noProof/>
          <w:lang w:val="vi-VN"/>
        </w:rPr>
      </w:pPr>
      <w:r w:rsidRPr="0083392F">
        <w:rPr>
          <w:noProof/>
          <w:lang w:val="vi-VN"/>
        </w:rPr>
        <w:t>Thông tư số 16/2013/TT-BCT ngày 17 tháng 7 năm 2013 của Bộ trưởng Bộ Công Thương ban hành Quy chuẩn kỹ thuật quốc gia về dây dẫn tín hiệu nổ dùng cho kíp nổ vi sai phi điện an toàn sử dụng trong mỏ hầm lò có khí Mêtan</w:t>
      </w:r>
      <w:r w:rsidR="006A68FA" w:rsidRPr="00DE59E2">
        <w:rPr>
          <w:noProof/>
          <w:lang w:val="vi-VN"/>
        </w:rPr>
        <w:t>, có hiệu lực kể từ ngày 05 tháng 9 năm 2013 được sửa đổi, bổ sung bởi:</w:t>
      </w:r>
    </w:p>
    <w:p w:rsidR="003E0074" w:rsidRPr="0083392F" w:rsidRDefault="003E0074" w:rsidP="00DE59E2">
      <w:pPr>
        <w:spacing w:before="120" w:after="120" w:line="340" w:lineRule="exact"/>
        <w:ind w:firstLine="567"/>
        <w:jc w:val="both"/>
        <w:rPr>
          <w:noProof/>
          <w:lang w:val="vi-VN"/>
        </w:rPr>
      </w:pPr>
      <w:r w:rsidRPr="0083392F">
        <w:rPr>
          <w:noProof/>
          <w:lang w:val="vi-VN"/>
        </w:rPr>
        <w:t>Thông tư số 42/2019/TT-BCT ngày 18 tháng 12 năm 2019 của Bộ trưởng Bộ Công Thương sửa đổi, bổ sung một số quy định về chế độ báo cáo định kỳ tại các Thông tư do Bộ trưởng Bộ Công Thương ban hành hoặc liên tịch ban hành, có hiệu lực kể từ ngày 05 tháng 02 năm 2020.</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 xml:space="preserve">Căn cứ Nghị định số 95/2012/NĐ-CP ngày 12 tháng 11 năm 2012 của Chính phủ quy định chức năng, nhiệm vụ, quyền hạn và cơ cấu tổ chức của Bộ Công Thương; </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Căn cứ Luật Tiêu chuẩn và Quy chuẩn kỹ thuật ngày 29 tháng 6 năm 2006;</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Căn cứ Nghị định số 127/2007/NĐ-CP ngày 01 tháng 8 năm 2007 của Chính phủ quy định chi tiết thi hành một số điều của Luật Tiêu chuẩn và Quy chuẩn kỹ thuật;</w:t>
      </w:r>
    </w:p>
    <w:p w:rsidR="006A68FA" w:rsidRPr="00DE59E2" w:rsidRDefault="006A68FA" w:rsidP="00DE59E2">
      <w:pPr>
        <w:shd w:val="clear" w:color="auto" w:fill="FFFFFF"/>
        <w:spacing w:before="120" w:after="120" w:line="340" w:lineRule="exact"/>
        <w:ind w:firstLine="567"/>
        <w:jc w:val="both"/>
        <w:rPr>
          <w:rFonts w:eastAsia="Times New Roman"/>
          <w:noProof/>
          <w:lang w:val="vi-VN"/>
        </w:rPr>
      </w:pPr>
      <w:r w:rsidRPr="0083392F">
        <w:rPr>
          <w:i/>
          <w:iCs/>
          <w:noProof/>
          <w:lang w:val="vi-VN"/>
        </w:rPr>
        <w:t>Theo đề nghị của Vụ trưởng Vụ Khoa học và Công nghệ</w:t>
      </w:r>
      <w:r w:rsidRPr="00DE59E2">
        <w:rPr>
          <w:i/>
          <w:iCs/>
          <w:noProof/>
          <w:lang w:val="vi-VN"/>
        </w:rPr>
        <w:t>,</w:t>
      </w:r>
      <w:r w:rsidRPr="0083392F">
        <w:rPr>
          <w:rStyle w:val="FootnoteReference"/>
          <w:i/>
          <w:iCs/>
          <w:noProof/>
          <w:lang w:val="vi-VN"/>
        </w:rPr>
        <w:footnoteReference w:customMarkFollows="1" w:id="1"/>
        <w:t>1</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2" w:name="dieu_1"/>
      <w:r w:rsidRPr="00DE59E2">
        <w:rPr>
          <w:rFonts w:eastAsia="Times New Roman"/>
          <w:b/>
          <w:bCs/>
          <w:noProof/>
          <w:lang w:val="vi-VN"/>
        </w:rPr>
        <w:t>Điều 1.</w:t>
      </w:r>
      <w:bookmarkEnd w:id="2"/>
      <w:r w:rsidRPr="00DE59E2">
        <w:rPr>
          <w:rFonts w:eastAsia="Times New Roman"/>
          <w:b/>
          <w:bCs/>
          <w:noProof/>
          <w:lang w:val="vi-VN"/>
        </w:rPr>
        <w:t> </w:t>
      </w:r>
      <w:bookmarkStart w:id="3" w:name="dieu_1_name"/>
      <w:r w:rsidRPr="00DE59E2">
        <w:rPr>
          <w:rFonts w:eastAsia="Times New Roman"/>
          <w:noProof/>
          <w:lang w:val="vi-VN"/>
        </w:rPr>
        <w:t>Ban hành kèm theo Thông tư này “Quy chuẩn kỹ thuật quốc gia về dây dẫn tín hiệu nổ dùng cho kíp nổ vi sai phi điện an toàn sử dụng trong mỏ hầm lò có khí Mêtan”. Ký hiệu QCVN 02 : 2013/BCT.</w:t>
      </w:r>
      <w:bookmarkEnd w:id="3"/>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4" w:name="dieu_2"/>
      <w:r w:rsidRPr="00DE59E2">
        <w:rPr>
          <w:rFonts w:eastAsia="Times New Roman"/>
          <w:b/>
          <w:bCs/>
          <w:noProof/>
          <w:lang w:val="vi-VN"/>
        </w:rPr>
        <w:t>Điều 2. Hiệu lực thi hành</w:t>
      </w:r>
      <w:bookmarkEnd w:id="4"/>
      <w:r w:rsidR="00747AB0" w:rsidRPr="00DE59E2">
        <w:rPr>
          <w:rStyle w:val="FootnoteReference"/>
          <w:rFonts w:eastAsia="Times New Roman"/>
          <w:b/>
          <w:bCs/>
          <w:noProof/>
          <w:lang w:val="vi-VN"/>
        </w:rPr>
        <w:footnoteReference w:customMarkFollows="1" w:id="2"/>
        <w:t>2</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lastRenderedPageBreak/>
        <w:t>Thông tư này có hiệu lực thi hành từ ngày 05 tháng 9 năm 2013.</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5" w:name="dieu_3"/>
      <w:r w:rsidRPr="00DE59E2">
        <w:rPr>
          <w:rFonts w:eastAsia="Times New Roman"/>
          <w:b/>
          <w:bCs/>
          <w:noProof/>
          <w:lang w:val="vi-VN"/>
        </w:rPr>
        <w:t>Điều 3. Trách nhiệm thi hành</w:t>
      </w:r>
      <w:bookmarkEnd w:id="5"/>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1. Vụ Khoa học và Công nghệ, Bộ Công Thương chịu trách nhiệm tổ chức thực hiện Thông tư này trên phạm vi cả nước.</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2. Sở Công Thương các tỉnh, thành phố trực thuộc Trung ương chịu trách nhiệm hướng dẫn, kiểm tra việc thực hiện Thông tư này trên địa bàn và báo cáo tình hình thực hiện Thông tư cho Bộ Công Thương theo quy định.</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3. Chánh Văn phòng Bộ, Chánh Thanh tra Bộ, các Vụ trưởng, Tổng cục trưởng TCNL, Cục trưởng thuộc Bộ, Giám đốc Sở Công Thương các tỉnh, thành phố trực thuộc Trung ương, Thủ trưởng các cơ quan, tổ chức và cá nhân có liên quan chịu trách nhiệm thi hành Thông tư này./.</w:t>
      </w:r>
    </w:p>
    <w:p w:rsidR="006A68FA" w:rsidRPr="00DE59E2" w:rsidRDefault="006A68FA" w:rsidP="00DE59E2">
      <w:pPr>
        <w:shd w:val="clear" w:color="auto" w:fill="FFFFFF"/>
        <w:spacing w:before="120" w:after="120" w:line="340" w:lineRule="exact"/>
        <w:ind w:firstLine="567"/>
        <w:jc w:val="both"/>
        <w:rPr>
          <w:rFonts w:eastAsia="Times New Roman"/>
          <w:noProof/>
          <w:lang w:val="vi-VN"/>
        </w:rPr>
      </w:pPr>
    </w:p>
    <w:tbl>
      <w:tblPr>
        <w:tblW w:w="0" w:type="auto"/>
        <w:tblLook w:val="04A0" w:firstRow="1" w:lastRow="0" w:firstColumn="1" w:lastColumn="0" w:noHBand="0" w:noVBand="1"/>
      </w:tblPr>
      <w:tblGrid>
        <w:gridCol w:w="4253"/>
        <w:gridCol w:w="4819"/>
      </w:tblGrid>
      <w:tr w:rsidR="0083392F" w:rsidRPr="00D079EC" w:rsidTr="00132A73">
        <w:trPr>
          <w:trHeight w:val="2840"/>
        </w:trPr>
        <w:tc>
          <w:tcPr>
            <w:tcW w:w="4253" w:type="dxa"/>
            <w:shd w:val="clear" w:color="auto" w:fill="auto"/>
          </w:tcPr>
          <w:p w:rsidR="00F86388" w:rsidRPr="00DE59E2" w:rsidRDefault="008516B5" w:rsidP="00F86388">
            <w:pPr>
              <w:spacing w:after="0"/>
              <w:jc w:val="center"/>
              <w:rPr>
                <w:b/>
                <w:noProof/>
                <w:sz w:val="26"/>
                <w:szCs w:val="26"/>
                <w:lang w:val="vi-VN"/>
              </w:rPr>
            </w:pPr>
            <w:r w:rsidRPr="00DE59E2">
              <w:rPr>
                <w:rFonts w:eastAsia="Times New Roman"/>
                <w:noProof/>
                <w:sz w:val="20"/>
                <w:szCs w:val="20"/>
              </w:rPr>
              <mc:AlternateContent>
                <mc:Choice Requires="wps">
                  <w:drawing>
                    <wp:anchor distT="0" distB="0" distL="114300" distR="114300" simplePos="0" relativeHeight="251659264" behindDoc="0" locked="0" layoutInCell="1" allowOverlap="1" wp14:anchorId="674F9B56" wp14:editId="74072481">
                      <wp:simplePos x="0" y="0"/>
                      <wp:positionH relativeFrom="column">
                        <wp:posOffset>6985</wp:posOffset>
                      </wp:positionH>
                      <wp:positionV relativeFrom="paragraph">
                        <wp:posOffset>-93345</wp:posOffset>
                      </wp:positionV>
                      <wp:extent cx="575056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820D72"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7.35pt" to="453.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" strokecolor="black [3040]"/>
                  </w:pict>
                </mc:Fallback>
              </mc:AlternateContent>
            </w:r>
            <w:r w:rsidR="0013708D" w:rsidRPr="00DE59E2">
              <w:rPr>
                <w:rFonts w:eastAsia="Times New Roman"/>
                <w:noProof/>
                <w:sz w:val="20"/>
                <w:szCs w:val="20"/>
                <w:lang w:val="vi-VN"/>
              </w:rPr>
              <w:t> </w:t>
            </w:r>
            <w:r w:rsidR="00F86388" w:rsidRPr="00DE59E2">
              <w:rPr>
                <w:noProof/>
                <w:sz w:val="26"/>
                <w:szCs w:val="26"/>
              </w:rPr>
              <mc:AlternateContent>
                <mc:Choice Requires="wps">
                  <w:drawing>
                    <wp:anchor distT="0" distB="0" distL="114300" distR="114300" simplePos="0" relativeHeight="251658240" behindDoc="0" locked="0" layoutInCell="1" allowOverlap="1" wp14:anchorId="51106924" wp14:editId="7D9E62B7">
                      <wp:simplePos x="0" y="0"/>
                      <wp:positionH relativeFrom="column">
                        <wp:posOffset>880745</wp:posOffset>
                      </wp:positionH>
                      <wp:positionV relativeFrom="paragraph">
                        <wp:posOffset>217805</wp:posOffset>
                      </wp:positionV>
                      <wp:extent cx="1117600" cy="0"/>
                      <wp:effectExtent l="0" t="0" r="254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A018DC" id="_x0000_t32" coordsize="21600,21600" o:spt="32" o:oned="t" path="m,l21600,21600e" filled="f">
                      <v:path arrowok="t" fillok="f" o:connecttype="none"/>
                      <o:lock v:ext="edit" shapetype="t"/>
                    </v:shapetype>
                    <v:shape id="Straight Arrow Connector 9" o:spid="_x0000_s1026" type="#_x0000_t32" style="position:absolute;margin-left:69.35pt;margin-top:17.15pt;width: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UQJAIAAEo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"/>
                  </w:pict>
                </mc:Fallback>
              </mc:AlternateContent>
            </w:r>
            <w:r w:rsidR="00F86388" w:rsidRPr="00DE59E2">
              <w:rPr>
                <w:b/>
                <w:noProof/>
                <w:sz w:val="26"/>
                <w:szCs w:val="26"/>
                <w:lang w:val="vi-VN"/>
              </w:rPr>
              <w:t>BỘ CÔNG THƯƠNG</w:t>
            </w:r>
          </w:p>
          <w:p w:rsidR="00F86388" w:rsidRPr="00DE59E2" w:rsidRDefault="00F86388" w:rsidP="00F86388">
            <w:pPr>
              <w:spacing w:before="120" w:after="0"/>
              <w:jc w:val="center"/>
              <w:rPr>
                <w:noProof/>
                <w:sz w:val="26"/>
                <w:szCs w:val="26"/>
                <w:lang w:val="vi-VN"/>
              </w:rPr>
            </w:pPr>
            <w:r w:rsidRPr="00DE59E2">
              <w:rPr>
                <w:noProof/>
                <w:sz w:val="26"/>
                <w:szCs w:val="26"/>
                <w:lang w:val="vi-VN"/>
              </w:rPr>
              <w:t xml:space="preserve">Số:   </w:t>
            </w:r>
            <w:r w:rsidR="00893BD6">
              <w:rPr>
                <w:noProof/>
                <w:sz w:val="26"/>
                <w:szCs w:val="26"/>
              </w:rPr>
              <w:t>43</w:t>
            </w:r>
            <w:r w:rsidRPr="00DE59E2">
              <w:rPr>
                <w:noProof/>
                <w:sz w:val="26"/>
                <w:szCs w:val="26"/>
                <w:lang w:val="vi-VN"/>
              </w:rPr>
              <w:t xml:space="preserve">   /VBHN-BCT</w:t>
            </w:r>
          </w:p>
          <w:p w:rsidR="00F86388" w:rsidRPr="0083392F" w:rsidRDefault="00F86388" w:rsidP="00F86388">
            <w:pPr>
              <w:spacing w:after="0"/>
              <w:rPr>
                <w:b/>
                <w:i/>
                <w:noProof/>
                <w:sz w:val="24"/>
                <w:szCs w:val="24"/>
                <w:lang w:val="vi-VN"/>
              </w:rPr>
            </w:pPr>
            <w:r w:rsidRPr="0083392F">
              <w:rPr>
                <w:b/>
                <w:i/>
                <w:noProof/>
                <w:sz w:val="24"/>
                <w:szCs w:val="24"/>
                <w:lang w:val="vi-VN"/>
              </w:rPr>
              <w:t xml:space="preserve">Nơi nhận: </w:t>
            </w:r>
          </w:p>
          <w:p w:rsidR="00747AB0" w:rsidRPr="0083392F" w:rsidRDefault="00747AB0" w:rsidP="00DE59E2">
            <w:pPr>
              <w:spacing w:after="0" w:line="240" w:lineRule="auto"/>
              <w:rPr>
                <w:noProof/>
                <w:sz w:val="22"/>
                <w:szCs w:val="22"/>
                <w:lang w:val="vi-VN"/>
              </w:rPr>
            </w:pPr>
            <w:r w:rsidRPr="0083392F">
              <w:rPr>
                <w:noProof/>
                <w:sz w:val="22"/>
                <w:szCs w:val="22"/>
                <w:lang w:val="vi-VN"/>
              </w:rPr>
              <w:t>- Văn phòng Chính phủ (để đăng Công báo);</w:t>
            </w:r>
          </w:p>
          <w:p w:rsidR="00747AB0" w:rsidRPr="0083392F" w:rsidRDefault="00747AB0" w:rsidP="00DE59E2">
            <w:pPr>
              <w:spacing w:after="0" w:line="240" w:lineRule="auto"/>
              <w:rPr>
                <w:noProof/>
                <w:sz w:val="22"/>
                <w:szCs w:val="22"/>
                <w:lang w:val="vi-VN"/>
              </w:rPr>
            </w:pPr>
            <w:r w:rsidRPr="0083392F">
              <w:rPr>
                <w:noProof/>
                <w:sz w:val="22"/>
                <w:szCs w:val="22"/>
                <w:lang w:val="vi-VN"/>
              </w:rPr>
              <w:t>- Bộ Tư pháp (để theo dõi);</w:t>
            </w:r>
          </w:p>
          <w:p w:rsidR="00747AB0" w:rsidRPr="0083392F" w:rsidRDefault="00747AB0" w:rsidP="00DE59E2">
            <w:pPr>
              <w:spacing w:after="0" w:line="240" w:lineRule="auto"/>
              <w:rPr>
                <w:noProof/>
                <w:sz w:val="22"/>
                <w:szCs w:val="22"/>
                <w:lang w:val="vi-VN"/>
              </w:rPr>
            </w:pPr>
            <w:r w:rsidRPr="0083392F">
              <w:rPr>
                <w:noProof/>
                <w:sz w:val="22"/>
                <w:szCs w:val="22"/>
                <w:lang w:val="vi-VN"/>
              </w:rPr>
              <w:t>- Văn phòng Bộ (để đăng website BCT);</w:t>
            </w:r>
          </w:p>
          <w:p w:rsidR="00747AB0" w:rsidRPr="0083392F" w:rsidRDefault="00747AB0" w:rsidP="00DE59E2">
            <w:pPr>
              <w:spacing w:after="0" w:line="240" w:lineRule="auto"/>
              <w:rPr>
                <w:noProof/>
                <w:sz w:val="22"/>
                <w:szCs w:val="22"/>
                <w:lang w:val="vi-VN"/>
              </w:rPr>
            </w:pPr>
            <w:r w:rsidRPr="0083392F">
              <w:rPr>
                <w:noProof/>
                <w:sz w:val="22"/>
                <w:szCs w:val="22"/>
                <w:lang w:val="vi-VN"/>
              </w:rPr>
              <w:t>- Vụ Pháp chế (để đăng CSDLQG);</w:t>
            </w:r>
          </w:p>
          <w:p w:rsidR="00F86388" w:rsidRPr="0083392F" w:rsidRDefault="00747AB0" w:rsidP="00DE59E2">
            <w:pPr>
              <w:spacing w:after="0" w:line="240" w:lineRule="auto"/>
              <w:rPr>
                <w:noProof/>
                <w:lang w:val="vi-VN"/>
              </w:rPr>
            </w:pPr>
            <w:r w:rsidRPr="0083392F">
              <w:rPr>
                <w:noProof/>
                <w:sz w:val="22"/>
                <w:szCs w:val="22"/>
                <w:lang w:val="vi-VN"/>
              </w:rPr>
              <w:t>- Lưu: VT, KHCN.</w:t>
            </w:r>
          </w:p>
        </w:tc>
        <w:tc>
          <w:tcPr>
            <w:tcW w:w="4819" w:type="dxa"/>
            <w:shd w:val="clear" w:color="auto" w:fill="auto"/>
          </w:tcPr>
          <w:p w:rsidR="00F86388" w:rsidRPr="0083392F" w:rsidRDefault="00F86388" w:rsidP="00F86388">
            <w:pPr>
              <w:spacing w:after="0"/>
              <w:jc w:val="center"/>
              <w:rPr>
                <w:b/>
                <w:noProof/>
                <w:lang w:val="vi-VN"/>
              </w:rPr>
            </w:pPr>
            <w:r w:rsidRPr="0083392F">
              <w:rPr>
                <w:b/>
                <w:noProof/>
                <w:lang w:val="vi-VN"/>
              </w:rPr>
              <w:t>XÁC THỰC VĂN BẢN HỢP NHẤT</w:t>
            </w:r>
          </w:p>
          <w:p w:rsidR="00F86388" w:rsidRPr="0083392F" w:rsidRDefault="00F86388" w:rsidP="00F86388">
            <w:pPr>
              <w:spacing w:after="0"/>
              <w:jc w:val="center"/>
              <w:rPr>
                <w:i/>
                <w:noProof/>
                <w:lang w:val="vi-VN"/>
              </w:rPr>
            </w:pPr>
            <w:r w:rsidRPr="0083392F">
              <w:rPr>
                <w:i/>
                <w:noProof/>
                <w:lang w:val="vi-VN"/>
              </w:rPr>
              <w:t xml:space="preserve">Hà Nội, ngày </w:t>
            </w:r>
            <w:r w:rsidR="00893BD6">
              <w:rPr>
                <w:i/>
                <w:noProof/>
              </w:rPr>
              <w:t xml:space="preserve"> 30</w:t>
            </w:r>
            <w:r w:rsidRPr="0083392F">
              <w:rPr>
                <w:i/>
                <w:noProof/>
                <w:lang w:val="vi-VN"/>
              </w:rPr>
              <w:t xml:space="preserve">  tháng  </w:t>
            </w:r>
            <w:r w:rsidR="00893BD6">
              <w:rPr>
                <w:i/>
                <w:noProof/>
              </w:rPr>
              <w:t>3</w:t>
            </w:r>
            <w:r w:rsidRPr="0083392F">
              <w:rPr>
                <w:i/>
                <w:noProof/>
                <w:lang w:val="vi-VN"/>
              </w:rPr>
              <w:t xml:space="preserve">  năm 2020</w:t>
            </w:r>
          </w:p>
          <w:p w:rsidR="00F86388" w:rsidRPr="0083392F" w:rsidRDefault="00F86388" w:rsidP="00F86388">
            <w:pPr>
              <w:spacing w:after="0"/>
              <w:jc w:val="center"/>
              <w:rPr>
                <w:b/>
                <w:noProof/>
                <w:lang w:val="vi-VN"/>
              </w:rPr>
            </w:pPr>
            <w:r w:rsidRPr="0083392F">
              <w:rPr>
                <w:b/>
                <w:noProof/>
                <w:lang w:val="vi-VN"/>
              </w:rPr>
              <w:t>BỘ TRƯỞNG</w:t>
            </w: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132A73" w:rsidRPr="0083392F" w:rsidRDefault="00F86388">
            <w:pPr>
              <w:spacing w:after="0"/>
              <w:jc w:val="center"/>
              <w:rPr>
                <w:b/>
                <w:noProof/>
                <w:lang w:val="vi-VN"/>
              </w:rPr>
            </w:pPr>
            <w:r w:rsidRPr="0083392F">
              <w:rPr>
                <w:b/>
                <w:noProof/>
                <w:lang w:val="vi-VN"/>
              </w:rPr>
              <w:t>Trần Tuấn Anh</w:t>
            </w:r>
          </w:p>
        </w:tc>
      </w:tr>
    </w:tbl>
    <w:p w:rsidR="00F67337" w:rsidRPr="00DE59E2" w:rsidRDefault="00F67337" w:rsidP="00DE59E2">
      <w:pPr>
        <w:shd w:val="clear" w:color="auto" w:fill="FFFFFF"/>
        <w:spacing w:before="120" w:after="120" w:line="234" w:lineRule="atLeast"/>
        <w:jc w:val="center"/>
        <w:rPr>
          <w:rFonts w:eastAsia="Times New Roman"/>
          <w:noProof/>
          <w:sz w:val="20"/>
          <w:szCs w:val="20"/>
        </w:rPr>
      </w:pPr>
    </w:p>
    <w:p w:rsidR="0013708D" w:rsidRPr="00DE59E2" w:rsidRDefault="0013708D">
      <w:pPr>
        <w:shd w:val="clear" w:color="auto" w:fill="FFFFFF"/>
        <w:spacing w:before="120" w:after="120" w:line="234" w:lineRule="atLeast"/>
        <w:jc w:val="center"/>
        <w:rPr>
          <w:rFonts w:eastAsia="Times New Roman"/>
          <w:noProof/>
          <w:lang w:val="vi-VN"/>
        </w:rPr>
      </w:pPr>
      <w:r w:rsidRPr="00DE59E2">
        <w:rPr>
          <w:rFonts w:eastAsia="Times New Roman"/>
          <w:b/>
          <w:bCs/>
          <w:noProof/>
          <w:lang w:val="vi-VN"/>
        </w:rPr>
        <w:lastRenderedPageBreak/>
        <w:t>QCVN 02 : 2013/BCT</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b/>
          <w:bCs/>
          <w:noProof/>
          <w:lang w:val="vi-VN"/>
        </w:rPr>
        <w:t>QUY CHUẨN KỸ THUẬT QUỐC GIA</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noProof/>
          <w:lang w:val="vi-VN"/>
        </w:rPr>
        <w:t>VỀ DÂY DẪN TÍN HIỆU NỔ DÙNG CHO KÍP NỔ VI SAI PHI ĐIỆN AN TOÀN SỬ DỤNG TRONG MỎ HẦM LÒ CÓ KHÍ MÊTAN</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i/>
          <w:iCs/>
          <w:noProof/>
          <w:lang w:val="vi-VN"/>
        </w:rPr>
        <w:t>National technical regulation on signal tube for permissible non-electrical delay detonator for using in underground mine in present of methane gas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Lời nói đầu: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QCVN 02 : 2013/BCT do Ban soạn thảo Quy chuẩn kỹ thuật quốc gia về dây dẫn tín hiệu nổ dùng cho kíp nổ vi sai phi điện an toàn sử dụng trong mỏ hầm lò có khí mêtan biên soạn, Vụ Khoa học Công nghệ - Bộ Công thương trình duyệt, Bộ Khoa học và Công nghệ thẩm định; Bộ trưởng Bộ Công thương ban hành kèm theo Thông tư số 16/2013/TT-BCT ngày 17 tháng 7 năm 2013.</w:t>
      </w:r>
    </w:p>
    <w:p w:rsidR="0013708D" w:rsidRPr="00DE59E2" w:rsidRDefault="0013708D" w:rsidP="0013708D">
      <w:pPr>
        <w:shd w:val="clear" w:color="auto" w:fill="FFFFFF"/>
        <w:spacing w:before="120" w:after="120" w:line="234" w:lineRule="atLeast"/>
        <w:rPr>
          <w:rFonts w:eastAsia="Times New Roman"/>
          <w:noProof/>
          <w:lang w:val="vi-VN"/>
        </w:rPr>
      </w:pPr>
      <w:r w:rsidRPr="00DE59E2">
        <w:rPr>
          <w:rFonts w:eastAsia="Times New Roman"/>
          <w:noProof/>
          <w:lang w:val="vi-VN"/>
        </w:rPr>
        <w:t> </w:t>
      </w:r>
    </w:p>
    <w:p w:rsidR="0013708D" w:rsidRPr="00DE59E2" w:rsidRDefault="0013708D" w:rsidP="0013708D">
      <w:pPr>
        <w:shd w:val="clear" w:color="auto" w:fill="FFFFFF"/>
        <w:spacing w:after="0" w:line="234" w:lineRule="atLeast"/>
        <w:jc w:val="center"/>
        <w:rPr>
          <w:rFonts w:eastAsia="Times New Roman"/>
          <w:noProof/>
          <w:lang w:val="vi-VN"/>
        </w:rPr>
      </w:pPr>
      <w:bookmarkStart w:id="6" w:name="loai_3"/>
      <w:r w:rsidRPr="00DE59E2">
        <w:rPr>
          <w:rFonts w:eastAsia="Times New Roman"/>
          <w:b/>
          <w:bCs/>
          <w:noProof/>
          <w:lang w:val="vi-VN"/>
        </w:rPr>
        <w:t>QUY CHUẨN KỸ THUẬT QUỐC GIA</w:t>
      </w:r>
      <w:bookmarkEnd w:id="6"/>
    </w:p>
    <w:p w:rsidR="0013708D" w:rsidRPr="00DE59E2" w:rsidRDefault="0013708D" w:rsidP="0013708D">
      <w:pPr>
        <w:shd w:val="clear" w:color="auto" w:fill="FFFFFF"/>
        <w:spacing w:after="0" w:line="234" w:lineRule="atLeast"/>
        <w:jc w:val="center"/>
        <w:rPr>
          <w:rFonts w:eastAsia="Times New Roman"/>
          <w:noProof/>
          <w:lang w:val="vi-VN"/>
        </w:rPr>
      </w:pPr>
      <w:bookmarkStart w:id="7" w:name="loai_3_name"/>
      <w:r w:rsidRPr="00DE59E2">
        <w:rPr>
          <w:rFonts w:eastAsia="Times New Roman"/>
          <w:noProof/>
          <w:lang w:val="vi-VN"/>
        </w:rPr>
        <w:t>VỀ DÂY DẪN TÍN HIỆU NỔ</w:t>
      </w:r>
      <w:bookmarkEnd w:id="7"/>
      <w:r w:rsidRPr="00DE59E2">
        <w:rPr>
          <w:rFonts w:eastAsia="Times New Roman"/>
          <w:noProof/>
          <w:lang w:val="vi-VN"/>
        </w:rPr>
        <w:t> DÙNG CHO KÍP VI SAI PHI ĐIỆN AN TOÀN SỬ DỤNG TRONG MỎ HẦM LÒ CÓ KHÍ MÊTAN</w:t>
      </w:r>
    </w:p>
    <w:p w:rsidR="0013708D" w:rsidRPr="00DE59E2" w:rsidRDefault="0013708D" w:rsidP="0013708D">
      <w:pPr>
        <w:shd w:val="clear" w:color="auto" w:fill="FFFFFF"/>
        <w:spacing w:before="120" w:after="120" w:line="234" w:lineRule="atLeast"/>
        <w:jc w:val="center"/>
        <w:rPr>
          <w:rFonts w:eastAsia="Times New Roman"/>
          <w:noProof/>
          <w:sz w:val="26"/>
          <w:lang w:val="vi-VN"/>
        </w:rPr>
      </w:pPr>
      <w:r w:rsidRPr="00DE59E2">
        <w:rPr>
          <w:rFonts w:eastAsia="Times New Roman"/>
          <w:b/>
          <w:bCs/>
          <w:i/>
          <w:iCs/>
          <w:noProof/>
          <w:sz w:val="26"/>
          <w:lang w:val="vi-VN"/>
        </w:rPr>
        <w:t>National technical regulation on signal tube for permissible non-electrical delay detonator for use in underground mine in present of methane gas</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8" w:name="dieu_1_1"/>
      <w:r w:rsidRPr="00DE59E2">
        <w:rPr>
          <w:rFonts w:eastAsia="Times New Roman"/>
          <w:b/>
          <w:bCs/>
          <w:noProof/>
          <w:lang w:val="vi-VN"/>
        </w:rPr>
        <w:t>1. QUY ĐỊNH CHUNG</w:t>
      </w:r>
      <w:bookmarkEnd w:id="8"/>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1.1. Phạm vi điều chỉnh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Quy chuẩn này quy định về yêu cầu kỹ thuật, phương pháp thử đối với dây dẫn tín hiệu nổ dùng cho kíp nổ vi sai phi điện an toàn trong mỏ hầm lò có khí mêtan.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1.2. Đối tượng áp dụng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Quy chuẩn kỹ thuật quốc gia này áp dụng đối với các tổ chức, cá nhân có liên quan đến dây dẫn tín hiệu nổ dùng cho kíp nổ vi sai phi điện an toàn sử dụng trong mỏ hầm lò có khí Mêtan trên lãnh thổ Việt Nam.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1.3. Tài liệu viện dẫn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1.3.1. QCVN 02 : 2008/BCT Quy chuẩn kỹ thuật quốc gia về an toàn trong bảo quản, vận chuyển, sử dụng và tiêu huỷ vật liệu nổ công nghiệp.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1.3.2. QCVN 01 : 2012/BCT Quy chuẩn kỹ thuật quốc gia về an toàn trong sản xuất, thử nghiệm và nghiệm thu vật liệu nổ công nghiệp.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1.4 Giải thích từ ngữ</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1.4.1. Dây dẫn tín hiệu nổ là phương tiện dùng để truyền sóng nổ từ kíp khởi nổ đến kíp nổ vi sai phi điện an toàn.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1.4.2. Tốc độ truyền sóng nổ của dây dẫn tín hiệu nổ là tốc độ nổ của thuốc nổ chạy dọc theo mặt trong của ống dây dẫn.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1.4.3. Độ nhạy gây nổ của dây dẫn tín hiệu nổ</w:t>
      </w:r>
      <w:r w:rsidRPr="00DE59E2">
        <w:rPr>
          <w:rFonts w:eastAsia="Times New Roman"/>
          <w:i/>
          <w:iCs/>
          <w:noProof/>
          <w:lang w:val="vi-VN"/>
        </w:rPr>
        <w:t> (gọi tắt là độ nhạy gây nổ)</w:t>
      </w:r>
      <w:r w:rsidRPr="00DE59E2">
        <w:rPr>
          <w:rFonts w:eastAsia="Times New Roman"/>
          <w:noProof/>
          <w:lang w:val="vi-VN"/>
        </w:rPr>
        <w:t> là khả năng nổ của dây dẫn tín hiệu nổ dưới tác dụng của sóng xung kích theo mặt phía trong của thành dây dẫn tín hiệu nổ, còn gọi là độ nhạy gây nổ hướng kính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1.4.4. Truyền sóng nổ an toàn là sóng nổ truyền trong dây dẫn tín hiệu nổ không phát tia lửa ra bên ngoài gây cháy hoặc nổ môi trường khí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1.4.5. Truyền sóng nổ gây cháy là sóng nổ truyền trong dây dẫn tín hiệu nổ phát tia lửa ra bên ngoài gây cháy hoặc nổ môi trường khí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 Quy định về lô sản phẩm và mẫu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1.4.6.1. Quy định về lô sản phẩm: Số lượng 500.000 mét/lô.</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1.4.6.2. Quy định số lượng sản phẩm phải định kỳ lấy mẫu kiểm tra tại phòng thử nghiệm được chỉ định: 361 mét/lô sản phẩm.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1.4.6.3. Mẫu thử nghiệm định kỳ là mẫu được lấy ngẫu nhiên trong lô sản phẩm.</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9" w:name="dieu_2_1"/>
      <w:r w:rsidRPr="00DE59E2">
        <w:rPr>
          <w:rFonts w:eastAsia="Times New Roman"/>
          <w:b/>
          <w:bCs/>
          <w:noProof/>
          <w:lang w:val="vi-VN"/>
        </w:rPr>
        <w:t>2. QUY ĐỊNH KỸ THUẬT</w:t>
      </w:r>
      <w:bookmarkEnd w:id="9"/>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2.1. Vỏ dây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Vỏ dây có đường kính đồng đều, không có lỗ thủng, không có tạp chất dạng cục, màu sắc phải đồng nhất, bề mặt ngoài phải nhẵn bóng không bị nứt, xước, gẫy dập.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Thành trong vỏ dây không được đọng bột thuốc, thuốc phải bám đều, không được đứt đoạn hoặc lẫn tạp chất cơ học mắt thường nhìn thấy.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2.2.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Tốc độ truyền sóng nổ của dây dẫn tín hiệu nổ trong khoảng 1.700 m/s ÷ 2.000m/s.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2.3. Độ nhạy gây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Các dây dẫn tín hiệu nổ chứa trong bạc thử nổ phải được truyền nổ hết khi gây nổ bằng kíp nổ có cường độ tương đương kíp điện số 8 hoặc được truyền nổ bằng hạt nổ số 2.</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2.4. Khả năng chịu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nổ khi thử chấn động với tần số 60 lần/ phút, biên độ 150±0,2 mm trong thời gian 5 phút, phải đạt yêu cầu về an toàn, độ tin cậy truyền nổ và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2.5. Khả năng chịu lực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Lực kéo đứt dây dẫn tín hiệu nổ theo hướng dọc trục không nhỏ hơn 22 kg.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2.6. Độ nhạy va đập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đạt yêu cầu thử nghiệm nếu không bị phát nổ khi bị quả nặng 10 kg rơi xuống ở độ cao 25 cm.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lastRenderedPageBreak/>
        <w:t>2.7. Thử độ kín và độ an toàn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nổ sau khi chịu lực nén với quả nặng 0,1 kg rơi xuống ở độ cao 1,0 mét được thử nổ trong buồng thử nổ có hàm lượng khí mê tan trong khoảng: 8 ÷ 10%. Dây dẫn tín hiệu nổ đạt yêu cầu nếu không truyền sóng nổ ra ngoài môi trường khí mêtan trong buồng thử nổ và không gây cháy/ nổ môi trường khí mêtan.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2.8. Thông số kỹ thuật của dây dẫn tín hiệu nổ</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4386"/>
        <w:gridCol w:w="1016"/>
        <w:gridCol w:w="1842"/>
        <w:gridCol w:w="1208"/>
      </w:tblGrid>
      <w:tr w:rsidR="0083392F" w:rsidRPr="0083392F" w:rsidTr="0013708D">
        <w:trPr>
          <w:tblCellSpacing w:w="0" w:type="dxa"/>
        </w:trPr>
        <w:tc>
          <w:tcPr>
            <w:tcW w:w="660" w:type="dxa"/>
            <w:tcBorders>
              <w:top w:val="single" w:sz="8" w:space="0" w:color="auto"/>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TT</w:t>
            </w:r>
          </w:p>
        </w:tc>
        <w:tc>
          <w:tcPr>
            <w:tcW w:w="4400"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Thông số kỹ thuật</w:t>
            </w:r>
          </w:p>
        </w:tc>
        <w:tc>
          <w:tcPr>
            <w:tcW w:w="1018"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Đơn vị</w:t>
            </w:r>
          </w:p>
        </w:tc>
        <w:tc>
          <w:tcPr>
            <w:tcW w:w="1844"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Trị số</w:t>
            </w:r>
          </w:p>
        </w:tc>
        <w:tc>
          <w:tcPr>
            <w:tcW w:w="1210"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Ghi chú</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1</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Đường kính ngoài</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mm</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3,0</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2</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Tốc độ truyền sóng nổ</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m/s</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1.700÷2.000</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3</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Độ bền kéo của dây</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Kg</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22</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4</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Màu sắc dây</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Vàng</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5</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Vật liệu chế tạo (Nhựa PE đặc chủng và hạt màu)</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bl>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0" w:name="dieu_3_1"/>
      <w:r w:rsidRPr="00DE59E2">
        <w:rPr>
          <w:rFonts w:eastAsia="Times New Roman"/>
          <w:b/>
          <w:bCs/>
          <w:noProof/>
          <w:lang w:val="vi-VN"/>
        </w:rPr>
        <w:t>3. PHƯƠNG PHÁP THỬ</w:t>
      </w:r>
      <w:bookmarkEnd w:id="10"/>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3.1. Quy định về an toàn khi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Mọi thao tác trong quá trình thử nghiệm phải tuân theo quy định về đảm bảo an toàn trong QCVN 02 : 2008/BCT và QCVN 01 : 2012/BCT hoặc Quy chuẩn thay thế.</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 Kiểm tra mặt ngoài, kích thước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3.2.1.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3.2.1.1. Thước cặp Panme, vạch chia 0,1mm.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3.2.1.2. Thước đo chiều dài, có vạch chia 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3.2.2. Kiểm tra mặt ngoài</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3.2.2.1. Kiểm tra bằng mắt thường về tình trạng mặt ngoài vỏ dây dẫn đạt yêu cầu theo quy định tại mục 2.1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3.2.2.2. Lấy ngẫu nhiên 60 mét dây trong lô hàng cần kiểm tra, dùng thước cặp đo đường kính ngoài. Đường kính ngoài và chiều dài của dây dẫn tín hiệu nổ đạt yêu cầu theo quy định tại Bảng 1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3.2.2.3. Khi kiểm tra không được va đập hoặc để rơi xuống đất. Không được xoay vặn nhiều lần làm cho dây dẫn bị gãy.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 Đo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3.3.1. Nguyên lý</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Tín hiệu truyền sóng nổ đầu tiên được ghi nhận qua đầu dây cảm quang thu tín hiệu đầu - start truyền thẳng đến máy đo thời gian ghi tín hiệu tại thời điểm dây dẫn tín hiệu bắt đầu cháy, tín hiệu truyền sóng nổ cuối cùng được đầu dây thu tín hiệu cuối - stop ghi nhận truyền đến máy đo để tính thời gian truyền sóng nổ. Từ thời gian truyền sóng nổ đo được và chiều dài dây dẫn tính ra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(Sơ đồ</w:t>
      </w:r>
      <w:r w:rsidRPr="00DE59E2">
        <w:rPr>
          <w:rFonts w:eastAsia="Times New Roman"/>
          <w:noProof/>
          <w:lang w:val="vi-VN"/>
        </w:rPr>
        <w:t> </w:t>
      </w:r>
      <w:r w:rsidRPr="00DE59E2">
        <w:rPr>
          <w:rFonts w:eastAsia="Times New Roman"/>
          <w:i/>
          <w:iCs/>
          <w:noProof/>
          <w:lang w:val="vi-VN"/>
        </w:rPr>
        <w:t>nguyên lý đo được mô tả trong Hình 1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3.3.2.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được lấy ngẫu nhiên đại diện cho lô dây dẫn tín hiệu nổ, mỗi mẫu thử được cắt đoạn dài 2,0 m. Số lượng mẫu thử :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3.3.3. Thiết bị, vật liệu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3.3.3.1. Máy đo thời gian, độ chính xác đến 10</w:t>
      </w:r>
      <w:r w:rsidRPr="00DE59E2">
        <w:rPr>
          <w:rFonts w:eastAsia="Times New Roman"/>
          <w:noProof/>
          <w:vertAlign w:val="superscript"/>
          <w:lang w:val="vi-VN"/>
        </w:rPr>
        <w:t>-6</w:t>
      </w:r>
      <w:r w:rsidRPr="00DE59E2">
        <w:rPr>
          <w:rFonts w:eastAsia="Times New Roman"/>
          <w:noProof/>
          <w:lang w:val="vi-VN"/>
        </w:rPr>
        <w:t> 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3.3.3.2. Bộ thu tín hiệu quang.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3.3.3.3. Nguồn gây nổ dây dẫn tín hiệu nổ: dùng thiết bị phát tia lửa điện đặt cách ly với buồng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3.3.4.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3.3.4.1. Dùng băng dính buộc chặt đầu dây thu tín hiệu đầu (start) vào điểm đầu dây dẫn tín hiệu nổ, sao cho khi kích nổ thì gây nổ được dây dẫn tín hiệu nổ và đồng thời thu được tín hiệu đầu. Đầu dây thu tín hiệu nổ cuối (tín hiệu dừng - top) được gắn chặt vào phần cuối của đoạn dây dẫn tín hiệu để nhận tín hiệu nổ cuối. Kéo thẳng đoạn dây dẫn tín hiệu nổ. Khoảng cách giữa đầu thu tín hiệu đầu (start) và đầu thu tín hiệu dừng (stop) không nhỏ hơn 0,5±0,002m.</w:t>
      </w:r>
      <w:r w:rsidRPr="00DE59E2">
        <w:rPr>
          <w:rFonts w:eastAsia="Times New Roman"/>
          <w:i/>
          <w:iCs/>
          <w:noProof/>
          <w:lang w:val="vi-VN"/>
        </w:rPr>
        <w:t> (Hình vẽ 1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Khởi nổ dây dẫn tín hiệu nổ bằng thiết bị phát tia lửa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3.3.4.2. Bật máy đo thời gian và đặt chế độ tự động ghi thời gian.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3.3.4.3. Kích nổ dây dẫn tín hiệu nổ ở đầu dây gắn đầu thu tín hiệu khởi (start).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3.3.4.4. Đọc kết quả thời gian đo được trên máy đo thời gian (t).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3.3.5. Tính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Tốc độ truyền sóng nổ D (m/s), tính theo công thức:</w:t>
      </w:r>
    </w:p>
    <w:p w:rsidR="0013708D" w:rsidRPr="00DE59E2" w:rsidRDefault="0013708D" w:rsidP="008050E0">
      <w:pPr>
        <w:shd w:val="clear" w:color="auto" w:fill="FFFFFF"/>
        <w:spacing w:before="120" w:after="120" w:line="234" w:lineRule="atLeast"/>
        <w:ind w:firstLine="567"/>
        <w:jc w:val="center"/>
        <w:rPr>
          <w:rFonts w:eastAsia="Times New Roman"/>
          <w:noProof/>
          <w:lang w:val="vi-VN"/>
        </w:rPr>
      </w:pPr>
      <w:r w:rsidRPr="00DE59E2">
        <w:rPr>
          <w:rFonts w:eastAsia="Times New Roman"/>
          <w:noProof/>
        </w:rPr>
        <w:drawing>
          <wp:inline distT="0" distB="0" distL="0" distR="0" wp14:anchorId="403E021D" wp14:editId="25E3E123">
            <wp:extent cx="406400" cy="391160"/>
            <wp:effectExtent l="0" t="0" r="0" b="8890"/>
            <wp:docPr id="7" name="Picture 7" descr="https://thuvienphapluat.vn/doc2htm/00201916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01916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91160"/>
                    </a:xfrm>
                    <a:prstGeom prst="rect">
                      <a:avLst/>
                    </a:prstGeom>
                    <a:noFill/>
                    <a:ln>
                      <a:noFill/>
                    </a:ln>
                  </pic:spPr>
                </pic:pic>
              </a:graphicData>
            </a:graphic>
          </wp:inline>
        </w:drawing>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Trong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 là thời gian đọc trên máy đo thời gian, tính bằng 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l là khoảng cách giữa đầu thu tín hiệu khởi (start) và đầu thu tín hiệu dừng (stop), tính bằng mét, l ≥ 0.5m.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3.3.6.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Lô sản phẩm đạt yêu cầu khi tất cả các mẫu thử nghiệm đạt tốc độ truyền sóng nổ trong khoảng 1.700 m/s ÷ 2.000 m/s. Nếu có một mẫu thử không đạt yêu cầu thì lô sản phẩm được coi là không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 Thử độ nhạy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được lấy ngẫu nhiên đại diện cho lô dây dẫn tín hiệu nổ, chiều dài mẫu không nhỏ hơn 1,2 m. Mỗi lần thử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3.4.2. Thiết bị, vật liệu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3.4.2.1. Kíp nổ điện cường độ số 8.</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3.4.2.2. Bạc thử: Chế tạo từ nhựa PE cao áp</w:t>
      </w:r>
      <w:r w:rsidRPr="00DE59E2">
        <w:rPr>
          <w:rFonts w:eastAsia="Times New Roman"/>
          <w:i/>
          <w:iCs/>
          <w:noProof/>
          <w:lang w:val="vi-VN"/>
        </w:rPr>
        <w:t> (Hình vẽ 2 phần Phụ lục)</w:t>
      </w:r>
      <w:r w:rsidRPr="00DE59E2">
        <w:rPr>
          <w:rFonts w:eastAsia="Times New Roman"/>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3.4.2.3. Nguồn điện gây nổ kíp nổ điện: Máy nổ mìn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3.4.2.4. Đồng hồ đo thời gian.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3.4.3.1. Yêu cầu khi thử nghiệm: Vị trí thử nổ được đặt trong bãi thử nổ chuyên dụng hoặc trong phòng với điều kiện có tấm chắn an toàn.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3.4.3.2. Lần lượt cắm 15 sợi dây dẫn tín hiệu nổ vào các lỗ của bạc thử và để thò ra khoảng 10 cm phía mặt bạc thử có lỗ tra kíp. Đầu kia dùng dây buộc túm lại (</w:t>
      </w:r>
      <w:r w:rsidRPr="00DE59E2">
        <w:rPr>
          <w:rFonts w:eastAsia="Times New Roman"/>
          <w:i/>
          <w:iCs/>
          <w:noProof/>
          <w:lang w:val="vi-VN"/>
        </w:rPr>
        <w:t>theo sơ đồ tại Hình vẽ 2 phần Phụ lục)</w:t>
      </w:r>
      <w:r w:rsidRPr="00DE59E2">
        <w:rPr>
          <w:rFonts w:eastAsia="Times New Roman"/>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3.4.3.3. Cắm kíp nổ vào lỗ tra kíp của bạc thử đến hết cỡ, yêu cầu kíp không tự tuột.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3.4.3.4. Nối dây dẫn điện của kíp nổ điện với nguồn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3.4.3.5. Trở về vị trí an toàn, gây nổ kíp.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3.4.3.6. Chỉ được kiểm tra sau khi kíp đã nổ 1 phút. Trong trường hợp kíp chưa nổ thì phải chờ ít nhất 5 phút mới được vào xử lý. Nếu mối nối dây dẫn điện của kíp điện tiếp xúc không tốt thì đấu nối lại, nếu kíp điện bị tịt thì cẩn thận thay kíp khác, gây nổ lại.</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Yêu cầu: Toàn bộ các dây dẫn tín hiệu nổ đều nổ hết.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Trường hợp có một mẫu không nổ thì cho phép lấy mẫu thử lại lần hai với số lượng gấp hai lần một. Trong lần thử thứ hai, toàn bộ các mẫu thử đều nổ hết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 Thử khả năng chịu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Các mẫu thử có chiều dài 2,0 m. Số lượng mẫu thử :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3.5.2.1. Máy thử chấn động có chế độ chấn động với biên độ dao động (150±2) mm, tần số dao động (60±1) lần/phút.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3.5.2.2. Đồng hồ thời gian có độ chính xác đến 10</w:t>
      </w:r>
      <w:r w:rsidRPr="00DE59E2">
        <w:rPr>
          <w:rFonts w:eastAsia="Times New Roman"/>
          <w:noProof/>
          <w:vertAlign w:val="superscript"/>
          <w:lang w:val="vi-VN"/>
        </w:rPr>
        <w:t>-6</w:t>
      </w:r>
      <w:r w:rsidRPr="00DE59E2">
        <w:rPr>
          <w:rFonts w:eastAsia="Times New Roman"/>
          <w:noProof/>
          <w:lang w:val="vi-VN"/>
        </w:rPr>
        <w:t>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3.5.2.3. Thước đo chiều dài có chia vạch 1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3.5.2.4. Bộ thu tín hiệu quang.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3.5.2.5. Nguồn gây nổ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3.5.3.1. Dùng băng dính cách điện bịt kín hai đầu của dây dẫn tín hiệu nổ thử nghiệm. Cuốn dây dẫn tín hiệu nổ thành cuộn có đường kính không nhỏ hơn 10 cm, phù hợp với kích thước của hòm chấn động; Nhẹ nhàng đặt mẫu thử vào trong hộp giấy chuyên dụng, sau đó đặt vào trong hòm gỗ của máy thử chấn động, dùng bìa, giấy chèn chặt.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3.5.3.2. Đậy nắp kín và gài khoá hòm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3.5.3.3. Đặt máy ở chế độ sẵn sàng làm việc, đặt thời gian thử 5 phút.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3.5.3.4. Nhân viên ra khỏi phòng thử, đóng và khóa cửa phòng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3.5.3.5. Khởi động thiết bị, đồng thời ghi thời gian bắt đầu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3.5.3.6. Khi thời gian chấn động đủ 5 phút, bấm công tắc ngừng máy, chờ máy ngừng hẳn, sau 10 phút mở cửa vào lấy mẫu ra kiểm tra tình trạng mặt ngoài và kết cấu.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3.5.3.7. Đưa mẫu đi thử đo tốc độ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thử đạt yêu cầu khi tốc độ nổ đạt quy định.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Trường hợp có 1 mẫu không đạt yêu cầu, thì cho phép lấy mẫu thử lại lần hai với số lượng gấp hai lần một. Nếu lần thử này toàn bộ các mẫu thử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 Thử khả năng chịu lực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lấy ngẫu nhiên, chiều dài mỗi mẫu là 2,0m. Số lượng mẫu thử: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3.6.2.1. Máy thử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3.6.2.2. Kìm kẹp chuyên dụng.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3.6.3.1. Cố định khoảng cách giữa 2 kẹp là 200mm để không bị tuột.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3.6.3.2. Bấm cho máy chạy đến khi lực kéo hiện trên máy đo không thay đổi thì dừng lại, ghi kết quả đo được đồng hồ của máy.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lastRenderedPageBreak/>
        <w:t>3.6.4.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Lô sản phẩm đạt yêu cầu khi tất cả các mẫu thử nghiệm có lực kéo đứt không nhỏ hơn 22kg (220N). Trường hợp có 1 mẫu không đạt yêu cầu, thì cho phép lấy mẫu thử lại lần hai với số lượng gấp hai lần một, nếu toàn bộ các mẫu thử lần hai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 Thử độ nhạy va đập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dây thử nghiệm được cắt đoạn dài 20 cm. Số lượng mẫu là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Giá treo và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cao treo quả nặng: 25 cm.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Quả nặng có trọng lượng: 10 kg; đường kính 125 mm, cao 100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Hình dáng quả nặng: Hình trụ có đáy phẳng.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(Mô tả chi tiết trong Hình 3a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3.7.3.1. Đặt đoạn dây dẫn tín hiệu nổ thử nghiệm nằm trên mặt phẳng nằm ngang bằng tấm thép.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3.7.3.2. Thả quả nặng theo ống định hướng ở độ cao 25 cm xuống mẫu thử nghiệm. Quả nặng được treo trong ống PVC gắn vào giá có thể điều chỉnh độ cao.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3.7.4. Đánh giá kết quả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Lô sản phẩm đạt yêu cầu khi tất cả các mẫu thử nghiệm không bị phát nổ khi thả quả nặng ở độ cao 25 cm. Trường hợp có một mẫu không đạt yêu cầu, thì cho phép lấy mẫu thử lại lần hai với số lượng gấp hai lần một. Nếu lần thử này toàn bộ các mẫu thử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 Thử nghiệm độ kín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3.8.1. Thử với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thử là mẫu lấy ngẫu nhiên trong số mẫu sản xuất. Mẫu dây dẫn tín hiệu nổ thử nghiệm phải có chiều dài tối thiểu không nhỏ hơn 2m, chiều dài để trong phần buồng thử nghiệm không nhỏ hơn 1m. Số lượng mẫu thử là 50 mẫu. Tất cả các mẫu thử trước khi đưa vào thử nghiệm độ kín đều phải tiến hành thử nghiệm chịu lực nén của quả nặng từ độ cao 1,0 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Giá treo và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Khoảng cách treo quả nặng: 1 mét.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Quả nặng bằng thép có trọng lượng: 0.1 kg, đường kính 20mm.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Hình dáng quả nặng: Hình trụ có đáy phẳng.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(Mô tả chi tiết trong Hình 3b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3.8.1.3.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Đặt đoạn dây dẫn tín hiệu nổ thử nghiệm nằm trên mặt phẳng nằm ngang trên tấm thép.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Thả quả nặng theo ống định hướng ở độ cao 1m xuống mẫu thử nghiệm. Quả nặng được treo trong ống PVC gắn vào giá có thể điều chỉnh độ cao.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3.8.2. Thiết bị, dụng cụ thử độ kín của dây dẫn tín hiệu sau khi thử với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3.8.2.1. Buồng thử nổ</w:t>
      </w:r>
      <w:r w:rsidRPr="00DE59E2">
        <w:rPr>
          <w:rFonts w:eastAsia="Times New Roman"/>
          <w:i/>
          <w:iCs/>
          <w:noProof/>
          <w:lang w:val="vi-VN"/>
        </w:rPr>
        <w:t> (Chi tiết trong Hình 4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Buồng thử nổ loại 1 ngăn: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Buồng thử nổ được làm bằng thép hình hộp chữ nhật rỗng, hở phía trên (miệng buồng nổ) các kích thước của buồng thử nổ như sau: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dài: 300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rộng: 300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cao: 400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Buồng thử nổ loại 10 ngăn :</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Hệ thống buồng thử nổ được làm bằng thép dày chịu được áp lực nổ, bao gồm 10 ngăn hình hộp chữ nhật rỗng, hở phía trên (miệng buồng nổ). Kích thước của mỗi ngăn hộp là (700x270x50). Miệng mỗi ngăn được đậy kín bằng tấm màng PE hoặc giấy kraft hai lớp có khung nắp chèn chặt.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Ống nối là ống thép để nối liên hoàn giữa các ngăn hộp, nối buồng thử nổ với ống cấp khí mê tan và nối với quạt khấy trộn tuần hoàn. Ngăn hộp và ống nối tạo thành hệ thống kín khi nạp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Trên mỗi đoạn ống nối phải có van để đảm bảo cho các ngăn hộp cô lập với nhau và ngăn cách các ống dẫn, không bị cháy lây lan sang các ngăn hộp khác khi khởi nổ. Các van có ký hiệu từ V1-V13.</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Trên ống nối ở giữa các ngăn, có một ống dẫn có van dùng để lấy mẫu khí xác định hàm lượng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Thùng lắng bụi làm bằng thép dạng hình trụ, dày 3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Quạt khuấy trộn tuần hoàn có lưu lượng thổi khí nhỏ hơn 8 m</w:t>
      </w:r>
      <w:r w:rsidRPr="00DE59E2">
        <w:rPr>
          <w:rFonts w:eastAsia="Times New Roman"/>
          <w:noProof/>
          <w:vertAlign w:val="superscript"/>
          <w:lang w:val="vi-VN"/>
        </w:rPr>
        <w:t>3</w:t>
      </w:r>
      <w:r w:rsidRPr="00DE59E2">
        <w:rPr>
          <w:rFonts w:eastAsia="Times New Roman"/>
          <w:noProof/>
          <w:lang w:val="vi-VN"/>
        </w:rPr>
        <w:t>/h và áp lực quạt không nhỏ hơn 220 mmHg .</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Ống thép để đặt kíp.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Hệ thống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3.8.2.2. Máy phân tích hàm lượng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a) Khoảng đo: 0% ÷ 20%.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Độ chính xác 0,1% giá trị đo.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3.8.2.3. Máy đo hàm lượng khí mê tan xách tay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Khoảng đo: 0% ÷ 20%.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Độ chính xác 0,5% giá trị đo.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3.8.2.4. Máy kích nổ hoặc nguồn khởi nổ: Dùng hạt nổ số 2 hoặc thiết bị kích nổ bằng tia lửa điện đặt cách ly với buồng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3.8.2.5. Bình hay nguồn cung cấp khí mê tan: Bình thép chịu áp lực đã được kiểm định theo đúng quy định, van xả khí có đồng hồ đo áp lực và dây dẫn chịu áp lực.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3.8.2.6. Màng ngăn cách: Là giấy kraft hoặc màng PE có độ dày 0.1mm.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3.8.2.7. Khí mê tan dùng trong thử nghiệm phải đạt các chỉ tiêu sau: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Hàm lượng Mê tan: không nhỏ hơn 90%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Hàm lượng Hyđrô: không lớn hơn 0,5%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 Các đồng đẳng của mê tan: không lớn hơn 8%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3.8.3.1. Đặt dây dẫn tín hiệu nổ đã thử va đập vào buồng thử nổ sao cho phần dây dẫn chịu va đập nằm trong buồng thử nghiệm. Hai đầu dây để ngoài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3.8.3.2. Dùng màng ngăn bịt kín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3.8.3.3. Nạp khí mê tan từ bình chứa khí vào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3.8.3.4. Đo/phân tích hàm lượng khí mê tan bên trong buồng thử nổ. Yêu cầu khí mê tan bên trong buồng thử nổ có hàm lượng khí mê tan trong khoảng 8 ÷ 10%.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3.8.3.5. Ghép đầu dây dẫn tín hiệu nổ cần thử nghiệm với nguồn khởi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3.8.3.6. Nhân viên thử nghiệm về phòng điều khiển tiến hành khởi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3.8.4. Đánh giá kết quả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3.8.4.1. Lô dây dẫn tín hiệu nổ được đánh giá đạt yêu cầu nếu 100% số mẫu thử không gây cháy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3.8.4.2. Lô dây dẫn tín hiệu nổ không đạt yêu cầu nếu như số mẫu thử gây cháy lớn hơn hoặc bằng hai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3.8.4.3. Nếu số lần gây cháy khí mê tan bằng một thì tiến hành thử nghiệm lại với số lượng mẫu thử gấp hai lần thử đầu tiên.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3.8.4.4. Nếu tổng số lần gây cháy trong cả hai lần thử nghiệm không lớn hơn hai thì lô mẫu dây dẫn tín hiệu nổ mang thử được đánh giá là an toàn trong môi trường có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3.8.4.5. Nếu tổng số mẫu thử gây cháy trong cả hai lần thử nghiệm lớn hơn hai thì lô dây dẫn tín hiệu nổ này được đánh giá là không đạt yêu cầu an toàn trong môi trường có khí mê tan.</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1" w:name="dieu_4"/>
      <w:r w:rsidRPr="00DE59E2">
        <w:rPr>
          <w:rFonts w:eastAsia="Times New Roman"/>
          <w:b/>
          <w:bCs/>
          <w:noProof/>
          <w:lang w:val="vi-VN"/>
        </w:rPr>
        <w:t>4. QUY ĐỊNH QUẢN LÝ</w:t>
      </w:r>
      <w:bookmarkEnd w:id="11"/>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4.1. Tổ chức, cá nhân sản xuất, kinh doanh dây dẫn tín hiệu nổ dùng cho kíp nổ vi sai phi điện an toàn phải thực hiện chứng nhận hợp quy, công bố hợp quy, đảm bảo chất lượng phù hợp với quy định của Quy chuẩn này.</w:t>
      </w:r>
    </w:p>
    <w:p w:rsidR="0013708D" w:rsidRPr="00DE59E2" w:rsidRDefault="0013708D" w:rsidP="008050E0">
      <w:pPr>
        <w:shd w:val="clear" w:color="auto" w:fill="FFFFFF"/>
        <w:spacing w:after="0" w:line="234" w:lineRule="atLeast"/>
        <w:ind w:firstLine="567"/>
        <w:jc w:val="both"/>
        <w:rPr>
          <w:rFonts w:eastAsia="Times New Roman"/>
          <w:noProof/>
          <w:lang w:val="vi-VN"/>
        </w:rPr>
      </w:pPr>
      <w:r w:rsidRPr="00DE59E2">
        <w:rPr>
          <w:rFonts w:eastAsia="Times New Roman"/>
          <w:noProof/>
          <w:lang w:val="vi-VN"/>
        </w:rPr>
        <w:t>4.2. Tổ chức, cá nhân chỉ được tiến hành sản xuất, kinh doanh và sử dụng dây dẫn tín hiệu nổ dùng cho kíp nổ vi sai phi điện an toàn sau khi sản phẩm đã có chứng nhận hợp quy, công bố hợp quy theo quy định tại Quy chuẩn này. Trình tự, thủ tục công bố hợp quy, chứng nhận hợp quy được quy định chi tiết tại Thông tư số </w:t>
      </w:r>
      <w:hyperlink r:id="rId9" w:tgtFrame="_blank" w:tooltip="Thông tư 48/2011/TT-BCT" w:history="1">
        <w:r w:rsidRPr="00DE59E2">
          <w:rPr>
            <w:rFonts w:eastAsia="Times New Roman"/>
            <w:noProof/>
            <w:lang w:val="vi-VN"/>
          </w:rPr>
          <w:t>48/2011/TT-BCT</w:t>
        </w:r>
      </w:hyperlink>
      <w:r w:rsidRPr="00DE59E2">
        <w:rPr>
          <w:rFonts w:eastAsia="Times New Roman"/>
          <w:noProof/>
          <w:lang w:val="vi-VN"/>
        </w:rPr>
        <w:t> ngày 30 tháng 12 năm 2011 của Bộ trưởng Bộ Công Thương Quy định quản lý chất lượng các sản phẩm, hàng hóa nhóm 2 thuộc phạm vi quản lý của Bộ Công thương.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4.3. Tổ chức thực hiện thử nghiệm, kiểm định chất lượng dây dẫn tín hiệu nổ dùng cho kíp nổ vi sai phi điện an toàn là Tổ chức được Bộ Công Thương ra quyết định chỉ định.</w:t>
      </w:r>
    </w:p>
    <w:p w:rsidR="0013708D" w:rsidRPr="00DE59E2" w:rsidRDefault="0013708D" w:rsidP="008050E0">
      <w:pPr>
        <w:shd w:val="clear" w:color="auto" w:fill="FFFFFF"/>
        <w:spacing w:after="0" w:line="234" w:lineRule="atLeast"/>
        <w:ind w:firstLine="567"/>
        <w:jc w:val="both"/>
        <w:rPr>
          <w:rFonts w:eastAsia="Times New Roman"/>
          <w:noProof/>
          <w:lang w:val="vi-VN"/>
        </w:rPr>
      </w:pPr>
      <w:r w:rsidRPr="00DE59E2">
        <w:rPr>
          <w:rFonts w:eastAsia="Times New Roman"/>
          <w:noProof/>
          <w:lang w:val="vi-VN"/>
        </w:rPr>
        <w:t>4.4. Cơ quan chức năng quy định tại Thông tư số </w:t>
      </w:r>
      <w:hyperlink r:id="rId10" w:tgtFrame="_blank" w:tooltip="Thông tư 48/2011/TT-BCT" w:history="1">
        <w:r w:rsidRPr="00DE59E2">
          <w:rPr>
            <w:rFonts w:eastAsia="Times New Roman"/>
            <w:noProof/>
            <w:lang w:val="vi-VN"/>
          </w:rPr>
          <w:t>48/2011/TT-BCT</w:t>
        </w:r>
      </w:hyperlink>
      <w:r w:rsidRPr="00DE59E2">
        <w:rPr>
          <w:rFonts w:eastAsia="Times New Roman"/>
          <w:noProof/>
          <w:lang w:val="vi-VN"/>
        </w:rPr>
        <w:t> ngày 30 tháng 12 năm 2011 của Bộ Công Thương thực hiện công tác kiểm tra chất lượng sản phẩm, hàng hóa đối với việc tuân thủ Quy chuẩn này.</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2" w:name="dieu_5"/>
      <w:r w:rsidRPr="00DE59E2">
        <w:rPr>
          <w:rFonts w:eastAsia="Times New Roman"/>
          <w:b/>
          <w:bCs/>
          <w:noProof/>
          <w:lang w:val="vi-VN"/>
        </w:rPr>
        <w:t>5. TỔ CHỨC THỰC HIỆN</w:t>
      </w:r>
      <w:bookmarkEnd w:id="12"/>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5.1. Vụ Khoa học và Công nghệ Bộ Công Thương có trách nhiệm chủ trì, phối hợp với các cơ quan, đơn vị liên quan hướng dẫn, kiểm tra, giám sát việc thực hiện Quy chuẩn này.</w:t>
      </w:r>
    </w:p>
    <w:p w:rsidR="00AE69CC" w:rsidRPr="00DE59E2" w:rsidRDefault="00AE69CC"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5.3.</w:t>
      </w:r>
      <w:r w:rsidRPr="0083392F">
        <w:rPr>
          <w:rStyle w:val="FootnoteReference"/>
          <w:b/>
          <w:bCs/>
          <w:noProof/>
          <w:spacing w:val="-4"/>
          <w:lang w:val="vi-VN"/>
        </w:rPr>
        <w:t xml:space="preserve"> </w:t>
      </w:r>
      <w:r w:rsidRPr="0083392F">
        <w:rPr>
          <w:rStyle w:val="FootnoteReference"/>
          <w:b/>
          <w:bCs/>
          <w:noProof/>
          <w:spacing w:val="-4"/>
          <w:lang w:val="vi-VN"/>
        </w:rPr>
        <w:footnoteReference w:id="3"/>
      </w:r>
      <w:r w:rsidR="00E15997" w:rsidRPr="0083392F">
        <w:rPr>
          <w:noProof/>
          <w:lang w:val="vi-VN"/>
        </w:rPr>
        <w:t xml:space="preserve"> </w:t>
      </w:r>
      <w:r w:rsidR="0083392F" w:rsidRPr="00DE59E2">
        <w:rPr>
          <w:b/>
          <w:bCs/>
          <w:i/>
          <w:iCs/>
          <w:noProof/>
          <w:lang w:val="vi-VN"/>
        </w:rPr>
        <w:t>(</w:t>
      </w:r>
      <w:r w:rsidR="0083392F" w:rsidRPr="00DE59E2">
        <w:rPr>
          <w:b/>
          <w:i/>
          <w:noProof/>
          <w:lang w:val="vi-VN"/>
        </w:rPr>
        <w:t>đ</w:t>
      </w:r>
      <w:r w:rsidR="00E15997" w:rsidRPr="0083392F">
        <w:rPr>
          <w:b/>
          <w:i/>
          <w:noProof/>
          <w:lang w:val="vi-VN"/>
        </w:rPr>
        <w:t>ược bãi bỏ</w:t>
      </w:r>
      <w:r w:rsidR="0083392F" w:rsidRPr="00DE59E2">
        <w:rPr>
          <w:b/>
          <w:i/>
          <w:noProof/>
          <w:lang w:val="vi-VN"/>
        </w:rPr>
        <w:t>)</w:t>
      </w:r>
      <w:r w:rsidR="008050E0" w:rsidRPr="0083392F">
        <w:rPr>
          <w:b/>
          <w:i/>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5.3. Tổ chức, cá nhân có liên quan đến hoạt động sản xuất, kinh doanh, sử dụng dây dẫn tín hiệu nổ dùng cho kíp nổ vi sai an toàn phi điện trên lãnh thổ Việt Nam phải tuân thủ các quy định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5.4. Trong trường hợp các văn bản quy phạm pháp luật, quy chuẩn được viện dẫn tại Quy chuẩn này có sự thay đổi, bổ sung hoặc được thay thế thì thực hiện theo quy định của văn bản mới./.</w:t>
      </w:r>
    </w:p>
    <w:p w:rsidR="0013708D" w:rsidRPr="00DE59E2" w:rsidRDefault="0013708D" w:rsidP="0013708D">
      <w:pPr>
        <w:shd w:val="clear" w:color="auto" w:fill="FFFFFF"/>
        <w:spacing w:before="120" w:after="120" w:line="234" w:lineRule="atLeast"/>
        <w:rPr>
          <w:rFonts w:eastAsia="Times New Roman"/>
          <w:noProof/>
          <w:lang w:val="vi-VN"/>
        </w:rPr>
      </w:pPr>
      <w:r w:rsidRPr="00DE59E2">
        <w:rPr>
          <w:rFonts w:eastAsia="Times New Roman"/>
          <w:noProof/>
          <w:lang w:val="vi-VN"/>
        </w:rPr>
        <w:t> </w:t>
      </w:r>
    </w:p>
    <w:p w:rsidR="00723E24" w:rsidRPr="00DE59E2" w:rsidRDefault="00723E24" w:rsidP="0013708D">
      <w:pPr>
        <w:shd w:val="clear" w:color="auto" w:fill="FFFFFF"/>
        <w:spacing w:after="0" w:line="234" w:lineRule="atLeast"/>
        <w:jc w:val="center"/>
        <w:rPr>
          <w:rFonts w:eastAsia="Times New Roman"/>
          <w:b/>
          <w:bCs/>
          <w:noProof/>
          <w:lang w:val="vi-VN"/>
        </w:rPr>
      </w:pPr>
      <w:bookmarkStart w:id="13" w:name="muc_pl1"/>
    </w:p>
    <w:p w:rsidR="00723E24" w:rsidRDefault="00723E24" w:rsidP="0013708D">
      <w:pPr>
        <w:shd w:val="clear" w:color="auto" w:fill="FFFFFF"/>
        <w:spacing w:after="0" w:line="234" w:lineRule="atLeast"/>
        <w:jc w:val="center"/>
        <w:rPr>
          <w:rFonts w:eastAsia="Times New Roman"/>
          <w:b/>
          <w:bCs/>
          <w:noProof/>
        </w:rPr>
      </w:pPr>
    </w:p>
    <w:p w:rsidR="00F67337" w:rsidRDefault="00F67337" w:rsidP="0013708D">
      <w:pPr>
        <w:shd w:val="clear" w:color="auto" w:fill="FFFFFF"/>
        <w:spacing w:after="0" w:line="234" w:lineRule="atLeast"/>
        <w:jc w:val="center"/>
        <w:rPr>
          <w:rFonts w:eastAsia="Times New Roman"/>
          <w:b/>
          <w:bCs/>
          <w:noProof/>
        </w:rPr>
      </w:pPr>
    </w:p>
    <w:p w:rsidR="00F67337" w:rsidRPr="00DE59E2" w:rsidRDefault="00F67337" w:rsidP="0013708D">
      <w:pPr>
        <w:shd w:val="clear" w:color="auto" w:fill="FFFFFF"/>
        <w:spacing w:after="0" w:line="234" w:lineRule="atLeast"/>
        <w:jc w:val="center"/>
        <w:rPr>
          <w:rFonts w:eastAsia="Times New Roman"/>
          <w:b/>
          <w:bCs/>
          <w:noProof/>
        </w:rPr>
      </w:pPr>
    </w:p>
    <w:p w:rsidR="00723E24" w:rsidRPr="00DE59E2" w:rsidRDefault="00723E24" w:rsidP="0013708D">
      <w:pPr>
        <w:shd w:val="clear" w:color="auto" w:fill="FFFFFF"/>
        <w:spacing w:after="0" w:line="234" w:lineRule="atLeast"/>
        <w:jc w:val="center"/>
        <w:rPr>
          <w:rFonts w:eastAsia="Times New Roman"/>
          <w:b/>
          <w:bCs/>
          <w:noProof/>
          <w:lang w:val="vi-VN"/>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lastRenderedPageBreak/>
        <w:t>PHỤ LỤC</w:t>
      </w:r>
      <w:bookmarkEnd w:id="13"/>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3240C3F2" wp14:editId="79A9F8A5">
            <wp:extent cx="5420360" cy="1828800"/>
            <wp:effectExtent l="0" t="0" r="8890" b="0"/>
            <wp:docPr id="6" name="Picture 6" descr="https://thuvienphapluat.vn/doc2htm/0020191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201916_fil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0360" cy="182880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1: Sơ đồ nguyên lý xác định tốc độ truyền sóng nổ của dây dẫn tín hiệu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Trong đó :</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 Đầu phóng tia lửa điện để kích nổ dây dẫn tín hiệu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 Mẫu thử cần đo</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 Đầu thu tín hiệu khởi động (Start)</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4 - Đầu thu tín hiệu dừng (Stop)</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08B4DB10" wp14:editId="1D44B7BA">
            <wp:extent cx="3591560" cy="4592320"/>
            <wp:effectExtent l="0" t="0" r="8890" b="0"/>
            <wp:docPr id="5" name="Picture 5" descr="https://thuvienphapluat.vn/doc2htm/00201916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201916_files/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1560" cy="459232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2: Bạc thử độ nhạy</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704915E9" wp14:editId="3EDA8674">
            <wp:extent cx="5420360" cy="4028440"/>
            <wp:effectExtent l="0" t="0" r="8890" b="0"/>
            <wp:docPr id="4" name="Picture 4" descr="https://thuvienphapluat.vn/doc2htm/0020191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201916_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360" cy="402844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3a: Thử nghiệm độ nhạy va đập của dây dẫn tín hiệu nổ</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6064DEE3" wp14:editId="18C7A700">
            <wp:extent cx="5420360" cy="2560320"/>
            <wp:effectExtent l="0" t="0" r="8890" b="0"/>
            <wp:docPr id="3" name="Picture 3" descr="https://thuvienphapluat.vn/doc2htm/00201916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201916_files/image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0360" cy="256032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3b: Thử nghiệm chịu lực nén của dây dẫn tín hiệu nổ</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3E5E5A21" wp14:editId="44B4877E">
            <wp:extent cx="5657329" cy="3260785"/>
            <wp:effectExtent l="0" t="0" r="635" b="0"/>
            <wp:docPr id="2" name="Picture 2" descr="https://thuvienphapluat.vn/doc2htm/0020191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201916_files/image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0433" cy="3262574"/>
                    </a:xfrm>
                    <a:prstGeom prst="rect">
                      <a:avLst/>
                    </a:prstGeom>
                    <a:noFill/>
                    <a:ln>
                      <a:noFill/>
                    </a:ln>
                  </pic:spPr>
                </pic:pic>
              </a:graphicData>
            </a:graphic>
          </wp:inline>
        </w:drawing>
      </w:r>
    </w:p>
    <w:p w:rsidR="00F67337" w:rsidRDefault="00F67337" w:rsidP="000C5448">
      <w:pPr>
        <w:shd w:val="clear" w:color="auto" w:fill="FFFFFF"/>
        <w:spacing w:after="0" w:line="288" w:lineRule="auto"/>
        <w:jc w:val="center"/>
        <w:rPr>
          <w:rFonts w:eastAsia="Times New Roman"/>
          <w:b/>
          <w:bCs/>
          <w:noProof/>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4a: Buồng thử nổ loại 1 ngăn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Ghi chú</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Buồng thử nổ                                                6. Lỗ luồn đầu dò</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Quạt tuần hoàn                                              7. Bẳng đấu dây</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Cánh quạt                                                     8. Nắp buồng thử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4. Lỗ nạp khí                                                     9. Lỗ luồn dây dẫn tín hiệu</w:t>
      </w:r>
    </w:p>
    <w:p w:rsidR="0013708D" w:rsidRDefault="0013708D" w:rsidP="000C5448">
      <w:pPr>
        <w:shd w:val="clear" w:color="auto" w:fill="FFFFFF"/>
        <w:spacing w:after="0" w:line="288" w:lineRule="auto"/>
        <w:rPr>
          <w:rFonts w:eastAsia="Times New Roman"/>
          <w:noProof/>
        </w:rPr>
      </w:pPr>
      <w:r w:rsidRPr="00DE59E2">
        <w:rPr>
          <w:rFonts w:eastAsia="Times New Roman"/>
          <w:noProof/>
          <w:lang w:val="vi-VN"/>
        </w:rPr>
        <w:t>5. Lỗ thải khí</w:t>
      </w:r>
    </w:p>
    <w:p w:rsidR="00F67337" w:rsidRPr="00DE59E2" w:rsidRDefault="00F67337" w:rsidP="000C5448">
      <w:pPr>
        <w:shd w:val="clear" w:color="auto" w:fill="FFFFFF"/>
        <w:spacing w:after="0" w:line="288" w:lineRule="auto"/>
        <w:rPr>
          <w:rFonts w:eastAsia="Times New Roman"/>
          <w:noProof/>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5CBECF01" wp14:editId="1F18383A">
            <wp:extent cx="5430520" cy="3743960"/>
            <wp:effectExtent l="0" t="0" r="0" b="8890"/>
            <wp:docPr id="1" name="Picture 1" descr="https://thuvienphapluat.vn/doc2htm/00201916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201916_files/image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0520" cy="374396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4b: Buồng thử nổ loại 10 ngăn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Ghi chú</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Ngăn hình hộp                                             4. Thùng lắng bụi</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Ống nổ                                                         5. Quạt đảo trộn khí mê tan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Van                                                               6. Chai chứa khí</w:t>
      </w:r>
    </w:p>
    <w:p w:rsidR="00B57A35" w:rsidRPr="0083392F" w:rsidRDefault="00B57A35" w:rsidP="000C5448">
      <w:pPr>
        <w:spacing w:after="0" w:line="240" w:lineRule="auto"/>
        <w:rPr>
          <w:noProof/>
          <w:lang w:val="vi-VN"/>
        </w:rPr>
      </w:pPr>
    </w:p>
    <w:sectPr w:rsidR="00B57A35" w:rsidRPr="0083392F" w:rsidSect="00DE59E2">
      <w:footerReference w:type="default" r:id="rId17"/>
      <w:type w:val="oddPage"/>
      <w:pgSz w:w="11907" w:h="16840" w:code="9"/>
      <w:pgMar w:top="1134" w:right="1134" w:bottom="1134" w:left="1701" w:header="0" w:footer="45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85" w:rsidRDefault="00A31885" w:rsidP="0039748A">
      <w:pPr>
        <w:spacing w:after="0" w:line="240" w:lineRule="auto"/>
      </w:pPr>
      <w:r>
        <w:separator/>
      </w:r>
    </w:p>
  </w:endnote>
  <w:endnote w:type="continuationSeparator" w:id="0">
    <w:p w:rsidR="00A31885" w:rsidRDefault="00A31885" w:rsidP="0039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1920"/>
      <w:docPartObj>
        <w:docPartGallery w:val="Page Numbers (Bottom of Page)"/>
        <w:docPartUnique/>
      </w:docPartObj>
    </w:sdtPr>
    <w:sdtEndPr>
      <w:rPr>
        <w:noProof/>
      </w:rPr>
    </w:sdtEndPr>
    <w:sdtContent>
      <w:p w:rsidR="00B42369" w:rsidRDefault="00B42369">
        <w:pPr>
          <w:pStyle w:val="Footer"/>
          <w:jc w:val="right"/>
        </w:pPr>
        <w:r>
          <w:fldChar w:fldCharType="begin"/>
        </w:r>
        <w:r>
          <w:instrText xml:space="preserve"> PAGE   \* MERGEFORMAT </w:instrText>
        </w:r>
        <w:r>
          <w:fldChar w:fldCharType="separate"/>
        </w:r>
        <w:r w:rsidR="00DE59E2">
          <w:rPr>
            <w:noProof/>
          </w:rPr>
          <w:t>16</w:t>
        </w:r>
        <w:r>
          <w:rPr>
            <w:noProof/>
          </w:rPr>
          <w:fldChar w:fldCharType="end"/>
        </w:r>
      </w:p>
    </w:sdtContent>
  </w:sdt>
  <w:p w:rsidR="00B42369" w:rsidRDefault="00B42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85" w:rsidRDefault="00A31885" w:rsidP="0039748A">
      <w:pPr>
        <w:spacing w:after="0" w:line="240" w:lineRule="auto"/>
      </w:pPr>
      <w:r>
        <w:separator/>
      </w:r>
    </w:p>
  </w:footnote>
  <w:footnote w:type="continuationSeparator" w:id="0">
    <w:p w:rsidR="00A31885" w:rsidRDefault="00A31885" w:rsidP="0039748A">
      <w:pPr>
        <w:spacing w:after="0" w:line="240" w:lineRule="auto"/>
      </w:pPr>
      <w:r>
        <w:continuationSeparator/>
      </w:r>
    </w:p>
  </w:footnote>
  <w:footnote w:id="1">
    <w:p w:rsidR="006A68FA" w:rsidRPr="006F4F37" w:rsidRDefault="006A68FA" w:rsidP="00B42369">
      <w:pPr>
        <w:spacing w:before="60" w:after="60" w:line="240" w:lineRule="auto"/>
        <w:ind w:firstLine="567"/>
        <w:jc w:val="both"/>
        <w:rPr>
          <w:i/>
          <w:noProof/>
          <w:sz w:val="20"/>
          <w:szCs w:val="20"/>
          <w:lang w:val="vi-VN"/>
        </w:rPr>
      </w:pPr>
      <w:r w:rsidRPr="00DE59E2">
        <w:rPr>
          <w:rStyle w:val="FootnoteReference"/>
          <w:sz w:val="20"/>
          <w:szCs w:val="20"/>
        </w:rPr>
        <w:t>1</w:t>
      </w:r>
      <w:r>
        <w:t xml:space="preserve"> </w:t>
      </w:r>
      <w:r w:rsidRPr="006F4F37">
        <w:rPr>
          <w:noProof/>
          <w:sz w:val="20"/>
          <w:szCs w:val="20"/>
          <w:lang w:val="vi-VN"/>
        </w:rPr>
        <w:t>Thông tư số 42/2019/TT-BCT sửa đổi, bổ sung một số quy định về chế độ báo cáo định kỳ tại các Thông tư do Bộ trưởng Bộ Công Thương ban hành hoặc liên tịch ban hành</w:t>
      </w:r>
      <w:r>
        <w:rPr>
          <w:noProof/>
          <w:sz w:val="20"/>
          <w:szCs w:val="20"/>
        </w:rPr>
        <w:t xml:space="preserve"> </w:t>
      </w:r>
      <w:r w:rsidRPr="006F4F37">
        <w:rPr>
          <w:noProof/>
          <w:sz w:val="20"/>
          <w:szCs w:val="20"/>
          <w:lang w:val="vi-VN"/>
        </w:rPr>
        <w:t>có căn cứ ban hành như sau:</w:t>
      </w:r>
    </w:p>
    <w:p w:rsidR="006A68FA" w:rsidRPr="006F4F37" w:rsidRDefault="006A68FA">
      <w:pPr>
        <w:spacing w:before="60" w:after="60" w:line="240" w:lineRule="auto"/>
        <w:ind w:firstLine="567"/>
        <w:jc w:val="both"/>
        <w:rPr>
          <w:i/>
          <w:noProof/>
          <w:sz w:val="20"/>
          <w:szCs w:val="20"/>
          <w:lang w:val="vi-VN"/>
        </w:rPr>
      </w:pPr>
      <w:r w:rsidRPr="006F4F37">
        <w:rPr>
          <w:i/>
          <w:noProof/>
          <w:sz w:val="20"/>
          <w:szCs w:val="20"/>
          <w:lang w:val="vi-VN"/>
        </w:rPr>
        <w:t>“Căn cứ Nghị định số 98/2017/NĐ-CP ngày 18 tháng 8 năm 2017 của Chính phủ quy định chức năng, nhiệm vụ, quyền hạn và cơ cấu tổ chức của Bộ Công Thương;</w:t>
      </w:r>
    </w:p>
    <w:p w:rsidR="006A68FA" w:rsidRPr="006F4F37" w:rsidRDefault="006A68FA">
      <w:pPr>
        <w:spacing w:before="60" w:after="60" w:line="240" w:lineRule="auto"/>
        <w:ind w:firstLine="567"/>
        <w:jc w:val="both"/>
        <w:rPr>
          <w:i/>
          <w:noProof/>
          <w:sz w:val="20"/>
          <w:szCs w:val="20"/>
          <w:lang w:val="vi-VN"/>
        </w:rPr>
      </w:pPr>
      <w:r w:rsidRPr="006F4F37">
        <w:rPr>
          <w:i/>
          <w:noProof/>
          <w:sz w:val="20"/>
          <w:szCs w:val="20"/>
          <w:lang w:val="vi-VN"/>
        </w:rPr>
        <w:t>Căn cứ Nghị định số 09/2019/NĐ-CP ngày 24 tháng 01 năm 2019 của Chính phủ quy định về chế độ báo cáo của cơ quan hành chính nhà nước;</w:t>
      </w:r>
    </w:p>
    <w:p w:rsidR="006A68FA" w:rsidRPr="00DE59E2" w:rsidRDefault="006A68FA" w:rsidP="00DE59E2">
      <w:pPr>
        <w:spacing w:before="60" w:after="60" w:line="240" w:lineRule="auto"/>
        <w:ind w:firstLine="567"/>
        <w:jc w:val="both"/>
        <w:rPr>
          <w:noProof/>
          <w:lang w:val="vi-VN"/>
        </w:rPr>
      </w:pPr>
      <w:r w:rsidRPr="006F4F37">
        <w:rPr>
          <w:i/>
          <w:noProof/>
          <w:sz w:val="20"/>
          <w:szCs w:val="20"/>
          <w:lang w:val="vi-VN"/>
        </w:rPr>
        <w:t>Theo đề nghị của Chánh Văn phòng Bộ;”</w:t>
      </w:r>
    </w:p>
  </w:footnote>
  <w:footnote w:id="2">
    <w:p w:rsidR="00747AB0" w:rsidRPr="006F4F37" w:rsidRDefault="00747AB0" w:rsidP="00DE59E2">
      <w:pPr>
        <w:pStyle w:val="FootnoteText"/>
        <w:spacing w:before="60" w:after="60"/>
        <w:ind w:firstLine="567"/>
        <w:jc w:val="both"/>
        <w:rPr>
          <w:noProof/>
          <w:lang w:val="vi-VN"/>
        </w:rPr>
      </w:pPr>
      <w:r w:rsidRPr="00DE59E2">
        <w:rPr>
          <w:rStyle w:val="FootnoteReference"/>
          <w:lang w:val="vi-VN"/>
        </w:rPr>
        <w:t>2</w:t>
      </w:r>
      <w:r w:rsidRPr="00DE59E2">
        <w:rPr>
          <w:lang w:val="vi-VN"/>
        </w:rPr>
        <w:t xml:space="preserve"> </w:t>
      </w:r>
      <w:r w:rsidRPr="006F4F37">
        <w:rPr>
          <w:noProof/>
          <w:lang w:val="vi-VN"/>
        </w:rPr>
        <w:t>Điều 37 Thông tư số 42/2019/TT-BCT sửa đổi, bổ sung một số quy định về chế độ báo cáo định kỳ tại các Thông tư do Bộ trưởng Bộ Công Thương b</w:t>
      </w:r>
      <w:r>
        <w:rPr>
          <w:noProof/>
          <w:lang w:val="vi-VN"/>
        </w:rPr>
        <w:t>an hành hoặc liên tịch ban hành</w:t>
      </w:r>
      <w:r w:rsidRPr="006F4F37">
        <w:rPr>
          <w:noProof/>
          <w:lang w:val="vi-VN"/>
        </w:rPr>
        <w:t>, có hiệu lực kể từ ngày 05 tháng 02 năm 2020 quy định như sau:</w:t>
      </w:r>
    </w:p>
    <w:p w:rsidR="00747AB0" w:rsidRPr="006F4F37" w:rsidRDefault="00747AB0">
      <w:pPr>
        <w:shd w:val="clear" w:color="auto" w:fill="FFFFFF"/>
        <w:spacing w:before="60" w:after="60"/>
        <w:ind w:firstLine="720"/>
        <w:jc w:val="both"/>
        <w:rPr>
          <w:b/>
          <w:bCs/>
          <w:i/>
          <w:iCs/>
          <w:noProof/>
          <w:color w:val="000000"/>
          <w:sz w:val="20"/>
          <w:szCs w:val="20"/>
          <w:lang w:val="vi-VN"/>
        </w:rPr>
      </w:pPr>
      <w:r w:rsidRPr="00DE59E2">
        <w:rPr>
          <w:b/>
          <w:bCs/>
          <w:noProof/>
          <w:color w:val="000000"/>
          <w:sz w:val="20"/>
          <w:szCs w:val="20"/>
          <w:lang w:val="vi-VN"/>
        </w:rPr>
        <w:t>“</w:t>
      </w:r>
      <w:r w:rsidRPr="006F4F37">
        <w:rPr>
          <w:b/>
          <w:bCs/>
          <w:i/>
          <w:iCs/>
          <w:noProof/>
          <w:color w:val="000000"/>
          <w:sz w:val="20"/>
          <w:szCs w:val="20"/>
          <w:lang w:val="vi-VN"/>
        </w:rPr>
        <w:t>Điều 37. Hiệu lực thi hành</w:t>
      </w:r>
    </w:p>
    <w:p w:rsidR="00747AB0" w:rsidRPr="006F4F37" w:rsidRDefault="00747AB0">
      <w:pPr>
        <w:shd w:val="clear" w:color="auto" w:fill="FFFFFF"/>
        <w:spacing w:before="60" w:after="60"/>
        <w:ind w:firstLine="720"/>
        <w:jc w:val="both"/>
        <w:rPr>
          <w:bCs/>
          <w:i/>
          <w:iCs/>
          <w:noProof/>
          <w:color w:val="000000"/>
          <w:sz w:val="20"/>
          <w:szCs w:val="20"/>
          <w:lang w:val="vi-VN"/>
        </w:rPr>
      </w:pPr>
      <w:r w:rsidRPr="006F4F37">
        <w:rPr>
          <w:bCs/>
          <w:i/>
          <w:iCs/>
          <w:noProof/>
          <w:color w:val="000000"/>
          <w:sz w:val="20"/>
          <w:szCs w:val="20"/>
          <w:lang w:val="vi-VN"/>
        </w:rPr>
        <w:t>1. Thông tư này có hiệu lực thi hành kể từ ngày 05 tháng 02 năm 2020.</w:t>
      </w:r>
    </w:p>
    <w:p w:rsidR="00747AB0" w:rsidRPr="006F4F37" w:rsidRDefault="00747AB0">
      <w:pPr>
        <w:spacing w:before="60" w:after="60"/>
        <w:ind w:firstLine="720"/>
        <w:jc w:val="both"/>
        <w:rPr>
          <w:rFonts w:eastAsia="Calibri"/>
          <w:i/>
          <w:iCs/>
          <w:noProof/>
          <w:color w:val="000000"/>
          <w:sz w:val="20"/>
          <w:szCs w:val="20"/>
          <w:lang w:val="vi-VN"/>
        </w:rPr>
      </w:pPr>
      <w:r w:rsidRPr="006F4F37">
        <w:rPr>
          <w:bCs/>
          <w:i/>
          <w:iCs/>
          <w:noProof/>
          <w:color w:val="000000"/>
          <w:sz w:val="20"/>
          <w:szCs w:val="20"/>
          <w:lang w:val="vi-VN"/>
        </w:rPr>
        <w:t>2. Bãi bỏ các quy định sau:</w:t>
      </w:r>
    </w:p>
    <w:p w:rsidR="00747AB0" w:rsidRPr="006F4F37" w:rsidRDefault="00747AB0">
      <w:pPr>
        <w:spacing w:before="60" w:after="60"/>
        <w:ind w:firstLine="720"/>
        <w:jc w:val="both"/>
        <w:rPr>
          <w:rFonts w:eastAsia="Calibri"/>
          <w:i/>
          <w:iCs/>
          <w:noProof/>
          <w:color w:val="000000"/>
          <w:sz w:val="20"/>
          <w:szCs w:val="20"/>
          <w:lang w:val="vi-VN"/>
        </w:rPr>
      </w:pPr>
      <w:r w:rsidRPr="006F4F37">
        <w:rPr>
          <w:rFonts w:eastAsia="Calibri"/>
          <w:i/>
          <w:iCs/>
          <w:noProof/>
          <w:color w:val="000000"/>
          <w:sz w:val="20"/>
          <w:szCs w:val="20"/>
          <w:lang w:val="vi-VN"/>
        </w:rPr>
        <w:t>a) Khoản 6 Điều 1 Thông tư số 33/2016/TT-BCT ngày 23 tháng 12 năm 2016 của Bộ trưởng Bộ Công Thương sửa đổi, bổ sung một số điều của Thông tư số 36/2015/TT-BCT ngày 28 tháng 10 năm 2015 ban hành Quy chuẩn kỹ thuật quốc gia đối với sản phẩm khăn giấy và giấy vệ sinh.</w:t>
      </w:r>
    </w:p>
    <w:p w:rsidR="00747AB0" w:rsidRPr="006F4F37" w:rsidRDefault="00747AB0">
      <w:pPr>
        <w:shd w:val="clear" w:color="auto" w:fill="FFFFFF"/>
        <w:spacing w:before="60" w:after="60"/>
        <w:ind w:firstLine="720"/>
        <w:jc w:val="both"/>
        <w:rPr>
          <w:rFonts w:eastAsia="Calibri"/>
          <w:i/>
          <w:iCs/>
          <w:noProof/>
          <w:color w:val="000000"/>
          <w:sz w:val="20"/>
          <w:szCs w:val="20"/>
          <w:lang w:val="vi-VN"/>
        </w:rPr>
      </w:pPr>
      <w:r w:rsidRPr="006F4F37">
        <w:rPr>
          <w:rFonts w:eastAsia="Calibri"/>
          <w:i/>
          <w:iCs/>
          <w:noProof/>
          <w:color w:val="000000"/>
          <w:sz w:val="20"/>
          <w:szCs w:val="20"/>
          <w:lang w:val="vi-VN"/>
        </w:rPr>
        <w:t>b) Điều 4 Thông tư số 51/2018/TT-BCT ngày 19 tháng 12 năm 2018 của Bộ trưởng Bộ Công Thương sửa đổi, bổ sung một số điều của Thông tư liên tịch</w:t>
      </w:r>
      <w:r w:rsidRPr="006F4F37" w:rsidDel="00360642">
        <w:rPr>
          <w:i/>
          <w:iCs/>
          <w:noProof/>
          <w:color w:val="000000"/>
          <w:sz w:val="20"/>
          <w:szCs w:val="20"/>
          <w:lang w:val="vi-VN"/>
        </w:rPr>
        <w:t xml:space="preserve"> </w:t>
      </w:r>
      <w:r w:rsidRPr="006F4F37">
        <w:rPr>
          <w:i/>
          <w:iCs/>
          <w:noProof/>
          <w:color w:val="000000"/>
          <w:sz w:val="20"/>
          <w:szCs w:val="20"/>
          <w:lang w:val="vi-VN"/>
        </w:rPr>
        <w:t>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r w:rsidRPr="006F4F37">
        <w:rPr>
          <w:rFonts w:eastAsia="Calibri"/>
          <w:i/>
          <w:iCs/>
          <w:noProof/>
          <w:color w:val="000000"/>
          <w:sz w:val="20"/>
          <w:szCs w:val="20"/>
          <w:lang w:val="vi-VN"/>
        </w:rPr>
        <w:t>.</w:t>
      </w:r>
    </w:p>
    <w:p w:rsidR="00747AB0" w:rsidRPr="006F4F37" w:rsidRDefault="00747AB0">
      <w:pPr>
        <w:spacing w:before="60" w:after="60"/>
        <w:ind w:firstLine="720"/>
        <w:jc w:val="both"/>
        <w:rPr>
          <w:rFonts w:eastAsia="Calibri" w:cs="Arial"/>
          <w:i/>
          <w:iCs/>
          <w:noProof/>
          <w:color w:val="000000"/>
          <w:sz w:val="20"/>
          <w:szCs w:val="20"/>
          <w:lang w:val="vi-VN"/>
        </w:rPr>
      </w:pPr>
      <w:r w:rsidRPr="006F4F37">
        <w:rPr>
          <w:rFonts w:eastAsia="Calibri"/>
          <w:i/>
          <w:iCs/>
          <w:noProof/>
          <w:color w:val="000000"/>
          <w:sz w:val="20"/>
          <w:szCs w:val="20"/>
          <w:lang w:val="vi-VN"/>
        </w:rPr>
        <w:t>c) Khoản 20 Điều 1 Thông tư số 31/2018/TT-BCT ngày 05 tháng 10 năm 2018 của Bộ trưởng Công Thương sửa đổi, bổ sung một số điều của Thông tư số 27/2013/TT-BCT ngày 31 tháng 10 năm 2013 quy định về kiểm tra hoạt động điện lực và sử dụng điện, giải quyết tranh chấp hợp đồng mua bán điệ</w:t>
      </w:r>
      <w:r w:rsidRPr="006F4F37">
        <w:rPr>
          <w:rFonts w:eastAsia="Calibri" w:cs="Arial"/>
          <w:i/>
          <w:iCs/>
          <w:noProof/>
          <w:color w:val="000000"/>
          <w:sz w:val="20"/>
          <w:szCs w:val="20"/>
          <w:lang w:val="vi-VN"/>
        </w:rPr>
        <w:t>n.</w:t>
      </w:r>
    </w:p>
    <w:p w:rsidR="00747AB0" w:rsidRPr="006F4F37" w:rsidRDefault="00747AB0">
      <w:pPr>
        <w:spacing w:before="60" w:after="60"/>
        <w:ind w:firstLine="720"/>
        <w:jc w:val="both"/>
        <w:rPr>
          <w:i/>
          <w:iCs/>
          <w:noProof/>
          <w:color w:val="000000"/>
          <w:sz w:val="20"/>
          <w:szCs w:val="20"/>
          <w:lang w:val="vi-VN"/>
        </w:rPr>
      </w:pPr>
      <w:r w:rsidRPr="006F4F37">
        <w:rPr>
          <w:rFonts w:eastAsia="Calibri" w:cs="Arial"/>
          <w:i/>
          <w:iCs/>
          <w:noProof/>
          <w:color w:val="000000"/>
          <w:sz w:val="20"/>
          <w:szCs w:val="20"/>
          <w:lang w:val="vi-VN"/>
        </w:rPr>
        <w:t xml:space="preserve">d) </w:t>
      </w:r>
      <w:r w:rsidRPr="006F4F37">
        <w:rPr>
          <w:i/>
          <w:iCs/>
          <w:noProof/>
          <w:color w:val="000000"/>
          <w:sz w:val="20"/>
          <w:szCs w:val="20"/>
          <w:lang w:val="vi-VN"/>
        </w:rPr>
        <w:t>Điều 29 Thông tư số 43/2013/TT-BCT ngày 31 tháng 12 năm 2013 của Bộ trưởng Bộ Công Thương quy định nội dung, trình tự, thủ tục lập, thẩm định, phê duyệt và điều chỉnh Quy hoạch phát triển điện lực</w:t>
      </w:r>
    </w:p>
    <w:p w:rsidR="00747AB0" w:rsidRPr="006F4F37" w:rsidRDefault="00747AB0">
      <w:pPr>
        <w:shd w:val="clear" w:color="auto" w:fill="FFFFFF"/>
        <w:spacing w:before="60" w:after="60"/>
        <w:ind w:firstLine="720"/>
        <w:jc w:val="both"/>
        <w:rPr>
          <w:bCs/>
          <w:i/>
          <w:iCs/>
          <w:noProof/>
          <w:color w:val="000000"/>
          <w:sz w:val="20"/>
          <w:szCs w:val="20"/>
          <w:lang w:val="vi-VN"/>
        </w:rPr>
      </w:pPr>
      <w:r w:rsidRPr="006F4F37">
        <w:rPr>
          <w:bCs/>
          <w:i/>
          <w:iCs/>
          <w:noProof/>
          <w:color w:val="000000"/>
          <w:sz w:val="20"/>
          <w:szCs w:val="20"/>
          <w:lang w:val="vi-VN"/>
        </w:rPr>
        <w:t>3. Các chế độ báo cáo định kỳ trong lĩnh vực Công Thương hiện hành phải đảm bảo thời gian chốt số liệu báo cáo theo quy định tại Điều 12 của Nghị định số 09/2019/NĐ-CP.</w:t>
      </w:r>
    </w:p>
    <w:p w:rsidR="00747AB0" w:rsidRPr="006F4F37" w:rsidRDefault="00747AB0">
      <w:pPr>
        <w:pStyle w:val="FootnoteText"/>
        <w:spacing w:before="60" w:after="60"/>
        <w:ind w:firstLine="567"/>
        <w:jc w:val="both"/>
        <w:rPr>
          <w:noProof/>
          <w:lang w:val="vi-VN"/>
        </w:rPr>
      </w:pPr>
      <w:r w:rsidRPr="006F4F37">
        <w:rPr>
          <w:bCs/>
          <w:i/>
          <w:iCs/>
          <w:noProof/>
          <w:color w:val="000000"/>
          <w:lang w:val="vi-VN"/>
        </w:rPr>
        <w:t>4. Trong quá trình thực hiện nếu có vướng mắc, các tổ chức, cá nhân phản ánh về Bộ Công Thương để được hướng dẫn, giải quyết./.”</w:t>
      </w:r>
    </w:p>
    <w:p w:rsidR="00747AB0" w:rsidRPr="00DE59E2" w:rsidRDefault="00747AB0" w:rsidP="00DE59E2">
      <w:pPr>
        <w:pStyle w:val="FootnoteText"/>
        <w:ind w:firstLine="567"/>
        <w:jc w:val="both"/>
        <w:rPr>
          <w:lang w:val="vi-VN"/>
        </w:rPr>
      </w:pPr>
    </w:p>
  </w:footnote>
  <w:footnote w:id="3">
    <w:p w:rsidR="00AE69CC" w:rsidRPr="00DE59E2" w:rsidRDefault="00AE69CC" w:rsidP="00DE59E2">
      <w:pPr>
        <w:spacing w:before="60" w:after="60" w:line="240" w:lineRule="auto"/>
        <w:ind w:firstLine="567"/>
        <w:jc w:val="both"/>
        <w:rPr>
          <w:noProof/>
          <w:sz w:val="20"/>
          <w:szCs w:val="20"/>
          <w:lang w:val="vi-VN"/>
        </w:rPr>
      </w:pPr>
      <w:r w:rsidRPr="00DE59E2">
        <w:rPr>
          <w:rStyle w:val="FootnoteReference"/>
          <w:noProof/>
          <w:sz w:val="20"/>
          <w:szCs w:val="20"/>
          <w:lang w:val="vi-VN"/>
        </w:rPr>
        <w:footnoteRef/>
      </w:r>
      <w:r w:rsidRPr="00DE59E2">
        <w:rPr>
          <w:noProof/>
          <w:sz w:val="20"/>
          <w:szCs w:val="20"/>
          <w:lang w:val="vi-VN"/>
        </w:rPr>
        <w:t xml:space="preserve"> </w:t>
      </w:r>
      <w:r w:rsidR="00D079EC" w:rsidRPr="00DE59E2">
        <w:rPr>
          <w:noProof/>
          <w:sz w:val="20"/>
          <w:szCs w:val="20"/>
          <w:lang w:val="vi-VN"/>
        </w:rPr>
        <w:t xml:space="preserve">Mục </w:t>
      </w:r>
      <w:r w:rsidRPr="00DE59E2">
        <w:rPr>
          <w:noProof/>
          <w:sz w:val="20"/>
          <w:szCs w:val="20"/>
          <w:lang w:val="vi-VN"/>
        </w:rPr>
        <w:t xml:space="preserve">này được </w:t>
      </w:r>
      <w:r w:rsidR="00E15997" w:rsidRPr="00DE59E2">
        <w:rPr>
          <w:noProof/>
          <w:sz w:val="20"/>
          <w:szCs w:val="20"/>
          <w:lang w:val="vi-VN"/>
        </w:rPr>
        <w:t xml:space="preserve">bãi bỏ theo </w:t>
      </w:r>
      <w:r w:rsidRPr="00DE59E2">
        <w:rPr>
          <w:noProof/>
          <w:sz w:val="20"/>
          <w:szCs w:val="20"/>
          <w:lang w:val="vi-VN"/>
        </w:rPr>
        <w:t xml:space="preserve">quy định tại </w:t>
      </w:r>
      <w:r w:rsidR="0083392F" w:rsidRPr="00DE59E2">
        <w:rPr>
          <w:noProof/>
          <w:sz w:val="20"/>
          <w:szCs w:val="20"/>
          <w:lang w:val="vi-VN"/>
        </w:rPr>
        <w:t>đ</w:t>
      </w:r>
      <w:r w:rsidRPr="00DE59E2">
        <w:rPr>
          <w:noProof/>
          <w:sz w:val="20"/>
          <w:szCs w:val="20"/>
          <w:lang w:val="vi-VN"/>
        </w:rPr>
        <w:t xml:space="preserve">iểm a </w:t>
      </w:r>
      <w:r w:rsidR="0083392F" w:rsidRPr="00DE59E2">
        <w:rPr>
          <w:noProof/>
          <w:sz w:val="20"/>
          <w:szCs w:val="20"/>
          <w:lang w:val="vi-VN"/>
        </w:rPr>
        <w:t>k</w:t>
      </w:r>
      <w:r w:rsidRPr="00DE59E2">
        <w:rPr>
          <w:noProof/>
          <w:sz w:val="20"/>
          <w:szCs w:val="20"/>
          <w:lang w:val="vi-VN"/>
        </w:rPr>
        <w:t>hoản 4 Điều 12 Thông tư số 42/2019/TT-BCT sửa đổi, bổ sung một số quy định về chế độ báo cáo định kỳ tại các thông tư do Bộ trưởng Bộ Công Thương ban hành hoặc liên tịch ban hành, có hiệu lực thi hành kể từ ngày 05 tháng 02 năm 2020.</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u Huong Giang">
    <w15:presenceInfo w15:providerId="None" w15:userId="Vu Huong G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33"/>
    <w:rsid w:val="000C5448"/>
    <w:rsid w:val="00125566"/>
    <w:rsid w:val="00132A73"/>
    <w:rsid w:val="0013708D"/>
    <w:rsid w:val="001429BC"/>
    <w:rsid w:val="00157E90"/>
    <w:rsid w:val="0016662D"/>
    <w:rsid w:val="001876D9"/>
    <w:rsid w:val="001C5D7F"/>
    <w:rsid w:val="00237394"/>
    <w:rsid w:val="00254604"/>
    <w:rsid w:val="00295489"/>
    <w:rsid w:val="002D138E"/>
    <w:rsid w:val="0031549D"/>
    <w:rsid w:val="0039748A"/>
    <w:rsid w:val="003A01A3"/>
    <w:rsid w:val="003E0074"/>
    <w:rsid w:val="004551F9"/>
    <w:rsid w:val="00455AEA"/>
    <w:rsid w:val="00485933"/>
    <w:rsid w:val="004A244D"/>
    <w:rsid w:val="0054512C"/>
    <w:rsid w:val="00561CA8"/>
    <w:rsid w:val="005671A3"/>
    <w:rsid w:val="00572917"/>
    <w:rsid w:val="006A68FA"/>
    <w:rsid w:val="006B22B5"/>
    <w:rsid w:val="006C264E"/>
    <w:rsid w:val="006F2B4D"/>
    <w:rsid w:val="006F3671"/>
    <w:rsid w:val="00723E24"/>
    <w:rsid w:val="00747AB0"/>
    <w:rsid w:val="007E6ABD"/>
    <w:rsid w:val="007F522E"/>
    <w:rsid w:val="00804131"/>
    <w:rsid w:val="008050E0"/>
    <w:rsid w:val="0083392F"/>
    <w:rsid w:val="008516B5"/>
    <w:rsid w:val="00873065"/>
    <w:rsid w:val="00893BD6"/>
    <w:rsid w:val="008B065B"/>
    <w:rsid w:val="008C02CD"/>
    <w:rsid w:val="008F5FCE"/>
    <w:rsid w:val="009304B8"/>
    <w:rsid w:val="009B4852"/>
    <w:rsid w:val="009C37D5"/>
    <w:rsid w:val="009D42FD"/>
    <w:rsid w:val="00A31885"/>
    <w:rsid w:val="00AA6424"/>
    <w:rsid w:val="00AE69CC"/>
    <w:rsid w:val="00B42369"/>
    <w:rsid w:val="00B47865"/>
    <w:rsid w:val="00B57A35"/>
    <w:rsid w:val="00BC4A8E"/>
    <w:rsid w:val="00C51628"/>
    <w:rsid w:val="00C8511F"/>
    <w:rsid w:val="00C86EDD"/>
    <w:rsid w:val="00C96D79"/>
    <w:rsid w:val="00CD31B0"/>
    <w:rsid w:val="00D079EC"/>
    <w:rsid w:val="00D3226A"/>
    <w:rsid w:val="00D66666"/>
    <w:rsid w:val="00D754FF"/>
    <w:rsid w:val="00DB535A"/>
    <w:rsid w:val="00DD00DF"/>
    <w:rsid w:val="00DE2462"/>
    <w:rsid w:val="00DE59E2"/>
    <w:rsid w:val="00E15997"/>
    <w:rsid w:val="00EB265E"/>
    <w:rsid w:val="00F61CA5"/>
    <w:rsid w:val="00F67337"/>
    <w:rsid w:val="00F84B04"/>
    <w:rsid w:val="00F86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08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13708D"/>
    <w:rPr>
      <w:color w:val="0000FF"/>
      <w:u w:val="single"/>
    </w:rPr>
  </w:style>
  <w:style w:type="paragraph" w:styleId="BalloonText">
    <w:name w:val="Balloon Text"/>
    <w:basedOn w:val="Normal"/>
    <w:link w:val="BalloonTextChar"/>
    <w:uiPriority w:val="99"/>
    <w:semiHidden/>
    <w:unhideWhenUsed/>
    <w:rsid w:val="0013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8D"/>
    <w:rPr>
      <w:rFonts w:ascii="Tahoma" w:hAnsi="Tahoma" w:cs="Tahoma"/>
      <w:sz w:val="16"/>
      <w:szCs w:val="16"/>
    </w:rPr>
  </w:style>
  <w:style w:type="character" w:styleId="FootnoteReference">
    <w:name w:val="footnote reference"/>
    <w:rsid w:val="0039748A"/>
    <w:rPr>
      <w:vertAlign w:val="superscript"/>
    </w:rPr>
  </w:style>
  <w:style w:type="paragraph" w:styleId="FootnoteText">
    <w:name w:val="footnote text"/>
    <w:basedOn w:val="Normal"/>
    <w:link w:val="FootnoteTextChar"/>
    <w:rsid w:val="003E0074"/>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3E0074"/>
    <w:rPr>
      <w:rFonts w:eastAsia="Times New Roman"/>
      <w:sz w:val="20"/>
      <w:szCs w:val="20"/>
    </w:rPr>
  </w:style>
  <w:style w:type="paragraph" w:styleId="Header">
    <w:name w:val="header"/>
    <w:basedOn w:val="Normal"/>
    <w:link w:val="HeaderChar"/>
    <w:uiPriority w:val="99"/>
    <w:unhideWhenUsed/>
    <w:rsid w:val="00B4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369"/>
  </w:style>
  <w:style w:type="paragraph" w:styleId="Footer">
    <w:name w:val="footer"/>
    <w:basedOn w:val="Normal"/>
    <w:link w:val="FooterChar"/>
    <w:uiPriority w:val="99"/>
    <w:unhideWhenUsed/>
    <w:rsid w:val="00B4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08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13708D"/>
    <w:rPr>
      <w:color w:val="0000FF"/>
      <w:u w:val="single"/>
    </w:rPr>
  </w:style>
  <w:style w:type="paragraph" w:styleId="BalloonText">
    <w:name w:val="Balloon Text"/>
    <w:basedOn w:val="Normal"/>
    <w:link w:val="BalloonTextChar"/>
    <w:uiPriority w:val="99"/>
    <w:semiHidden/>
    <w:unhideWhenUsed/>
    <w:rsid w:val="0013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8D"/>
    <w:rPr>
      <w:rFonts w:ascii="Tahoma" w:hAnsi="Tahoma" w:cs="Tahoma"/>
      <w:sz w:val="16"/>
      <w:szCs w:val="16"/>
    </w:rPr>
  </w:style>
  <w:style w:type="character" w:styleId="FootnoteReference">
    <w:name w:val="footnote reference"/>
    <w:rsid w:val="0039748A"/>
    <w:rPr>
      <w:vertAlign w:val="superscript"/>
    </w:rPr>
  </w:style>
  <w:style w:type="paragraph" w:styleId="FootnoteText">
    <w:name w:val="footnote text"/>
    <w:basedOn w:val="Normal"/>
    <w:link w:val="FootnoteTextChar"/>
    <w:rsid w:val="003E0074"/>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3E0074"/>
    <w:rPr>
      <w:rFonts w:eastAsia="Times New Roman"/>
      <w:sz w:val="20"/>
      <w:szCs w:val="20"/>
    </w:rPr>
  </w:style>
  <w:style w:type="paragraph" w:styleId="Header">
    <w:name w:val="header"/>
    <w:basedOn w:val="Normal"/>
    <w:link w:val="HeaderChar"/>
    <w:uiPriority w:val="99"/>
    <w:unhideWhenUsed/>
    <w:rsid w:val="00B4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369"/>
  </w:style>
  <w:style w:type="paragraph" w:styleId="Footer">
    <w:name w:val="footer"/>
    <w:basedOn w:val="Normal"/>
    <w:link w:val="FooterChar"/>
    <w:uiPriority w:val="99"/>
    <w:unhideWhenUsed/>
    <w:rsid w:val="00B4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thuvienphapluat.vn/van-ban/thuong-mai/thong-tu-48-2011-tt-bct-quan-ly-chat-luong-san-pham-hang-hoa-134170.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uong-mai/thong-tu-48-2011-tt-bct-quan-ly-chat-luong-san-pham-hang-hoa-134170.aspx"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E444-ECAF-43E7-8715-B350FDE3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2020-03-18T10:15:00Z</cp:lastPrinted>
  <dcterms:created xsi:type="dcterms:W3CDTF">2020-02-20T07:33:00Z</dcterms:created>
  <dcterms:modified xsi:type="dcterms:W3CDTF">2020-03-30T09:05:00Z</dcterms:modified>
</cp:coreProperties>
</file>