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9" w:type="dxa"/>
        <w:tblInd w:w="-176" w:type="dxa"/>
        <w:tblLayout w:type="fixed"/>
        <w:tblLook w:val="0000" w:firstRow="0" w:lastRow="0" w:firstColumn="0" w:lastColumn="0" w:noHBand="0" w:noVBand="0"/>
      </w:tblPr>
      <w:tblGrid>
        <w:gridCol w:w="4112"/>
        <w:gridCol w:w="6067"/>
      </w:tblGrid>
      <w:tr w:rsidR="00EA533B" w:rsidRPr="00EA533B" w:rsidTr="00782A0A">
        <w:trPr>
          <w:trHeight w:val="1559"/>
        </w:trPr>
        <w:tc>
          <w:tcPr>
            <w:tcW w:w="4112" w:type="dxa"/>
          </w:tcPr>
          <w:p w:rsidR="00EA533B" w:rsidRPr="00832D6D" w:rsidRDefault="00EA533B" w:rsidP="00782A0A">
            <w:pPr>
              <w:spacing w:line="240" w:lineRule="auto"/>
              <w:jc w:val="center"/>
              <w:rPr>
                <w:rFonts w:ascii="Times New Roman" w:hAnsi="Times New Roman"/>
                <w:sz w:val="28"/>
              </w:rPr>
            </w:pPr>
            <w:bookmarkStart w:id="0" w:name="_GoBack"/>
            <w:bookmarkEnd w:id="0"/>
            <w:r w:rsidRPr="00832D6D">
              <w:rPr>
                <w:rFonts w:ascii="Times New Roman" w:hAnsi="Times New Roman"/>
                <w:sz w:val="28"/>
              </w:rPr>
              <w:t>BỘ CÔNG THƯƠNG</w:t>
            </w:r>
          </w:p>
          <w:p w:rsidR="00EA533B" w:rsidRPr="00EA533B" w:rsidRDefault="00EA533B" w:rsidP="00782A0A">
            <w:pPr>
              <w:spacing w:line="240" w:lineRule="auto"/>
              <w:jc w:val="center"/>
              <w:rPr>
                <w:rFonts w:ascii="Times New Roman" w:hAnsi="Times New Roman"/>
                <w:b/>
                <w:sz w:val="28"/>
              </w:rPr>
            </w:pPr>
            <w:r w:rsidRPr="00EA533B">
              <w:rPr>
                <w:rFonts w:ascii="Times New Roman" w:hAnsi="Times New Roman"/>
                <w:b/>
                <w:sz w:val="28"/>
              </w:rPr>
              <w:t>VỤ TT CHÂU ÂU – CHÂU MỸ</w:t>
            </w:r>
          </w:p>
          <w:p w:rsidR="00EA533B" w:rsidRPr="00EA533B" w:rsidRDefault="00A37C33" w:rsidP="00782A0A">
            <w:pPr>
              <w:spacing w:line="240" w:lineRule="auto"/>
              <w:rPr>
                <w:rFonts w:ascii="Times New Roman" w:hAnsi="Times New Roman"/>
                <w:b/>
                <w:sz w:val="28"/>
                <w:szCs w:val="16"/>
              </w:rPr>
            </w:pPr>
            <w:r>
              <w:rPr>
                <w:rFonts w:ascii="Times New Roman" w:hAnsi="Times New Roman"/>
                <w:b/>
                <w:noProof/>
                <w:sz w:val="28"/>
              </w:rPr>
              <mc:AlternateContent>
                <mc:Choice Requires="wps">
                  <w:drawing>
                    <wp:anchor distT="0" distB="0" distL="114300" distR="114300" simplePos="0" relativeHeight="251657216" behindDoc="0" locked="0" layoutInCell="1" allowOverlap="1">
                      <wp:simplePos x="0" y="0"/>
                      <wp:positionH relativeFrom="column">
                        <wp:posOffset>955675</wp:posOffset>
                      </wp:positionH>
                      <wp:positionV relativeFrom="paragraph">
                        <wp:posOffset>45720</wp:posOffset>
                      </wp:positionV>
                      <wp:extent cx="711200" cy="0"/>
                      <wp:effectExtent l="12700" t="7620"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8476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3.6pt" to="131.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O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"/>
                  </w:pict>
                </mc:Fallback>
              </mc:AlternateContent>
            </w:r>
          </w:p>
        </w:tc>
        <w:tc>
          <w:tcPr>
            <w:tcW w:w="6067" w:type="dxa"/>
          </w:tcPr>
          <w:p w:rsidR="00EA533B" w:rsidRPr="00EA533B" w:rsidRDefault="00EA533B" w:rsidP="00782A0A">
            <w:pPr>
              <w:spacing w:line="240" w:lineRule="auto"/>
              <w:jc w:val="center"/>
              <w:rPr>
                <w:rFonts w:ascii="Times New Roman" w:hAnsi="Times New Roman"/>
                <w:b/>
                <w:sz w:val="28"/>
              </w:rPr>
            </w:pPr>
            <w:r w:rsidRPr="00EA533B">
              <w:rPr>
                <w:rFonts w:ascii="Times New Roman" w:hAnsi="Times New Roman"/>
                <w:b/>
                <w:sz w:val="28"/>
              </w:rPr>
              <w:t>CỘNG HOÀ XÃ HỘI CHỦ NGHĨA VIỆT NAM</w:t>
            </w:r>
          </w:p>
          <w:p w:rsidR="00EA533B" w:rsidRPr="00EA533B" w:rsidRDefault="00EA533B" w:rsidP="00782A0A">
            <w:pPr>
              <w:spacing w:line="240" w:lineRule="auto"/>
              <w:jc w:val="center"/>
              <w:rPr>
                <w:rFonts w:ascii="Times New Roman" w:hAnsi="Times New Roman"/>
                <w:b/>
                <w:sz w:val="28"/>
              </w:rPr>
            </w:pPr>
            <w:r w:rsidRPr="00EA533B">
              <w:rPr>
                <w:rFonts w:ascii="Times New Roman" w:hAnsi="Times New Roman"/>
                <w:b/>
                <w:sz w:val="28"/>
              </w:rPr>
              <w:t>Độc lập - Tự do - Hạnh phúc</w:t>
            </w:r>
          </w:p>
          <w:p w:rsidR="00EA533B" w:rsidRPr="00EA533B" w:rsidRDefault="00A37C33" w:rsidP="00782A0A">
            <w:pPr>
              <w:spacing w:line="240" w:lineRule="auto"/>
              <w:jc w:val="center"/>
              <w:rPr>
                <w:rFonts w:ascii="Times New Roman" w:hAnsi="Times New Roman"/>
                <w:sz w:val="28"/>
              </w:rPr>
            </w:pPr>
            <w:r>
              <w:rPr>
                <w:rFonts w:ascii="Times New Roman" w:hAnsi="Times New Roman"/>
                <w:b/>
                <w:noProof/>
                <w:sz w:val="28"/>
              </w:rPr>
              <mc:AlternateContent>
                <mc:Choice Requires="wps">
                  <w:drawing>
                    <wp:anchor distT="0" distB="0" distL="114300" distR="114300" simplePos="0" relativeHeight="251658240" behindDoc="0" locked="0" layoutInCell="1" allowOverlap="1">
                      <wp:simplePos x="0" y="0"/>
                      <wp:positionH relativeFrom="column">
                        <wp:posOffset>715645</wp:posOffset>
                      </wp:positionH>
                      <wp:positionV relativeFrom="paragraph">
                        <wp:posOffset>45720</wp:posOffset>
                      </wp:positionV>
                      <wp:extent cx="2305050" cy="0"/>
                      <wp:effectExtent l="10795" t="7620" r="8255"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03DAA"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3.6pt" to="237.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"/>
                  </w:pict>
                </mc:Fallback>
              </mc:AlternateContent>
            </w:r>
          </w:p>
        </w:tc>
      </w:tr>
    </w:tbl>
    <w:p w:rsidR="00782A0A" w:rsidRDefault="00EA533B" w:rsidP="00782A0A">
      <w:pPr>
        <w:spacing w:before="120" w:after="120" w:line="240" w:lineRule="auto"/>
        <w:jc w:val="center"/>
        <w:rPr>
          <w:rFonts w:ascii="Times New Roman" w:hAnsi="Times New Roman"/>
          <w:b/>
          <w:sz w:val="28"/>
          <w:szCs w:val="28"/>
        </w:rPr>
      </w:pPr>
      <w:r>
        <w:rPr>
          <w:rFonts w:ascii="Times New Roman" w:hAnsi="Times New Roman"/>
          <w:b/>
          <w:sz w:val="28"/>
          <w:szCs w:val="28"/>
        </w:rPr>
        <w:t xml:space="preserve">NHỮNG NỘI DUNG CHÍNH TRONG HỢP TÁC SONG PHƯƠNG </w:t>
      </w:r>
    </w:p>
    <w:p w:rsidR="00EA533B" w:rsidRDefault="00EA533B" w:rsidP="00782A0A">
      <w:pPr>
        <w:spacing w:before="120" w:after="120" w:line="240" w:lineRule="auto"/>
        <w:jc w:val="center"/>
        <w:rPr>
          <w:rFonts w:ascii="Times New Roman" w:hAnsi="Times New Roman"/>
          <w:b/>
          <w:sz w:val="28"/>
          <w:szCs w:val="28"/>
        </w:rPr>
      </w:pPr>
      <w:r>
        <w:rPr>
          <w:rFonts w:ascii="Times New Roman" w:hAnsi="Times New Roman"/>
          <w:b/>
          <w:sz w:val="28"/>
          <w:szCs w:val="28"/>
        </w:rPr>
        <w:t>VIỆT NAM - RUMANI</w:t>
      </w:r>
    </w:p>
    <w:p w:rsidR="00550750" w:rsidRPr="00EA533B" w:rsidRDefault="00550750" w:rsidP="00EA533B">
      <w:pPr>
        <w:spacing w:before="120" w:after="120" w:line="380" w:lineRule="exact"/>
        <w:jc w:val="center"/>
        <w:rPr>
          <w:rFonts w:ascii="Times New Roman" w:hAnsi="Times New Roman"/>
          <w:i/>
          <w:sz w:val="28"/>
          <w:szCs w:val="28"/>
        </w:rPr>
      </w:pPr>
    </w:p>
    <w:p w:rsidR="00132BBB" w:rsidRDefault="00132BBB" w:rsidP="00132BBB">
      <w:pPr>
        <w:spacing w:before="120" w:after="120" w:line="380" w:lineRule="exact"/>
        <w:ind w:firstLine="697"/>
        <w:jc w:val="both"/>
        <w:rPr>
          <w:rFonts w:ascii="Times New Roman" w:hAnsi="Times New Roman"/>
          <w:b/>
          <w:sz w:val="28"/>
          <w:szCs w:val="28"/>
        </w:rPr>
      </w:pPr>
      <w:r w:rsidRPr="00132BBB">
        <w:rPr>
          <w:rFonts w:ascii="Times New Roman" w:hAnsi="Times New Roman"/>
          <w:b/>
          <w:sz w:val="28"/>
          <w:szCs w:val="28"/>
        </w:rPr>
        <w:t xml:space="preserve">I. Tình hình </w:t>
      </w:r>
      <w:r w:rsidR="00914C06">
        <w:rPr>
          <w:rFonts w:ascii="Times New Roman" w:hAnsi="Times New Roman"/>
          <w:b/>
          <w:sz w:val="28"/>
          <w:szCs w:val="28"/>
        </w:rPr>
        <w:t>hợp tác</w:t>
      </w:r>
      <w:r w:rsidRPr="00132BBB">
        <w:rPr>
          <w:rFonts w:ascii="Times New Roman" w:hAnsi="Times New Roman"/>
          <w:b/>
          <w:sz w:val="28"/>
          <w:szCs w:val="28"/>
        </w:rPr>
        <w:t xml:space="preserve"> giữa Việt Nam – </w:t>
      </w:r>
      <w:r w:rsidR="00C17CC8">
        <w:rPr>
          <w:rFonts w:ascii="Times New Roman" w:hAnsi="Times New Roman"/>
          <w:b/>
          <w:sz w:val="28"/>
          <w:szCs w:val="28"/>
        </w:rPr>
        <w:t>Ru-ma-ni</w:t>
      </w:r>
    </w:p>
    <w:p w:rsidR="00CF5A11" w:rsidRPr="00CF5A11" w:rsidRDefault="00CF5A11" w:rsidP="00132BBB">
      <w:pPr>
        <w:spacing w:before="120" w:after="120" w:line="380" w:lineRule="exact"/>
        <w:ind w:firstLine="697"/>
        <w:jc w:val="both"/>
        <w:rPr>
          <w:rFonts w:ascii="Times New Roman" w:hAnsi="Times New Roman"/>
          <w:sz w:val="28"/>
          <w:szCs w:val="28"/>
        </w:rPr>
      </w:pPr>
      <w:r w:rsidRPr="00CF5A11">
        <w:rPr>
          <w:rFonts w:ascii="Times New Roman" w:hAnsi="Times New Roman"/>
          <w:sz w:val="28"/>
          <w:szCs w:val="28"/>
        </w:rPr>
        <w:t>Hai nước thường xuyên trao đổi các đoàn cấp cao, như: chuyến thăm chính thức Việt Nam của Thủ tướng Ru-ma-ni Dacian Ciolos (7/2016); chuyến thăm Ru-ma-ni của Phó Thủ tướng Phạm Bình Minh (7/2018); đoàn Bộ trưởng Bộ trưởng Bộ Môi trường kinh doanh, thương mại và doanh nghiệp Ru-ma-ni thăm Việt Nam (tháng 10/2018); đoàn Bộ trưởng Bộ Lao động – Thương binh và Xã hội Đào Ngọc Dung đã ký MOU với Bộ Lao động Ru-ma-ni (tháng 11/2018); chuyến thăm chính thức Ru-ma-ni của Thủ tướng Chính phủ Nguyễn Xuân Phúc (tháng 4/2019); đoàn Quốc vụ khanh Ru-ma-ni tham vấn chính trị tại Việt Nam (tháng 5/2019); đoàn Bộ trưởng Bộ Công Thương Trần Tuấn Anh sang Ru-ma-ni và một số nước châu Âu để vận động ký kết EVFTA và EVIPA (giữa tháng 6/2019); đoàn Bộ trưởng Bộ Môi trường kinh doanh, Thương mại và Doanh nghiệp Ru-ma-ni và Quốc vụ khanh Bộ Ngoại giao Ru-ma-ni thăm chính thức và tham dự Lễ ký kết Hiệp định EVFTA và EVIPA tại Việt Nam (cuối tháng 6/2019). Điều này cho thấy sự quan tâm đặc biệt của Chính phủ hai nước, trên cơ sở tiềm năng hợp tác hai bên trong tương lai rất khả quan, mang tính bổ trợ lẫn nhau.</w:t>
      </w:r>
    </w:p>
    <w:p w:rsidR="00132BBB" w:rsidRPr="00132BBB" w:rsidRDefault="00132BBB" w:rsidP="00132BBB">
      <w:pPr>
        <w:spacing w:before="120" w:after="120" w:line="380" w:lineRule="exact"/>
        <w:ind w:firstLine="709"/>
        <w:jc w:val="both"/>
        <w:rPr>
          <w:rFonts w:ascii="Times New Roman" w:hAnsi="Times New Roman"/>
          <w:b/>
          <w:i/>
          <w:sz w:val="28"/>
          <w:szCs w:val="28"/>
        </w:rPr>
      </w:pPr>
      <w:r w:rsidRPr="00132BBB">
        <w:rPr>
          <w:rFonts w:ascii="Times New Roman" w:hAnsi="Times New Roman"/>
          <w:b/>
          <w:i/>
          <w:sz w:val="28"/>
          <w:szCs w:val="28"/>
        </w:rPr>
        <w:t>1.</w:t>
      </w:r>
      <w:r w:rsidR="00C17CC8">
        <w:rPr>
          <w:rFonts w:ascii="Times New Roman" w:hAnsi="Times New Roman"/>
          <w:b/>
          <w:i/>
          <w:sz w:val="28"/>
          <w:szCs w:val="28"/>
        </w:rPr>
        <w:t xml:space="preserve"> </w:t>
      </w:r>
      <w:r w:rsidRPr="00132BBB">
        <w:rPr>
          <w:rFonts w:ascii="Times New Roman" w:hAnsi="Times New Roman"/>
          <w:b/>
          <w:i/>
          <w:sz w:val="28"/>
          <w:szCs w:val="28"/>
        </w:rPr>
        <w:t>Quan hệ thương mại</w:t>
      </w:r>
      <w:r w:rsidR="000C1B60">
        <w:rPr>
          <w:rFonts w:ascii="Times New Roman" w:hAnsi="Times New Roman"/>
          <w:b/>
          <w:i/>
          <w:sz w:val="28"/>
          <w:szCs w:val="28"/>
        </w:rPr>
        <w:t>, đầu tư</w:t>
      </w:r>
    </w:p>
    <w:p w:rsidR="00132BBB" w:rsidRPr="00132BBB" w:rsidRDefault="00132BBB" w:rsidP="00132BBB">
      <w:pPr>
        <w:spacing w:before="120" w:after="120" w:line="380" w:lineRule="exact"/>
        <w:ind w:firstLine="709"/>
        <w:jc w:val="both"/>
        <w:rPr>
          <w:rFonts w:ascii="Times New Roman" w:hAnsi="Times New Roman"/>
          <w:sz w:val="28"/>
          <w:szCs w:val="28"/>
          <w:lang w:val="nb-NO"/>
        </w:rPr>
      </w:pPr>
      <w:r w:rsidRPr="00132BBB">
        <w:rPr>
          <w:rFonts w:ascii="Times New Roman" w:hAnsi="Times New Roman"/>
          <w:sz w:val="28"/>
          <w:szCs w:val="28"/>
          <w:lang w:val="sv-SE"/>
        </w:rPr>
        <w:t xml:space="preserve">Theo số liệu của Hải quan Việt Nam, </w:t>
      </w:r>
      <w:r w:rsidRPr="00132BBB">
        <w:rPr>
          <w:rFonts w:ascii="Times New Roman" w:hAnsi="Times New Roman"/>
          <w:sz w:val="28"/>
          <w:szCs w:val="28"/>
          <w:lang w:val="nb-NO"/>
        </w:rPr>
        <w:t>tổng kim ngạch thương mại giữa Việt Nam và Ru-ma-ni năm 2018 đạt 218,3</w:t>
      </w:r>
      <w:r w:rsidRPr="00132BBB">
        <w:rPr>
          <w:rFonts w:ascii="Times New Roman" w:hAnsi="Times New Roman"/>
          <w:sz w:val="28"/>
          <w:szCs w:val="28"/>
          <w:lang w:val="vi-VN"/>
        </w:rPr>
        <w:t xml:space="preserve"> triệu</w:t>
      </w:r>
      <w:r w:rsidRPr="00132BBB">
        <w:rPr>
          <w:rFonts w:ascii="Times New Roman" w:hAnsi="Times New Roman"/>
          <w:sz w:val="28"/>
          <w:szCs w:val="28"/>
          <w:lang w:val="nb-NO"/>
        </w:rPr>
        <w:t xml:space="preserve"> USD, tăng 6,08% so với năm 2017. Trong đó, xuất khẩu từ Việt Nam sang Ru-ma-ni đạt 146,8 triệu USD, tăng 22,7% so với năm 2017 và nhập khẩu từ Ru-ma-ni sang Việt Nam đạt 71,5 triệu USD, giảm 17% so với năm 2017.</w:t>
      </w:r>
    </w:p>
    <w:p w:rsidR="00C17CC8" w:rsidRDefault="00C17CC8" w:rsidP="00C17CC8">
      <w:pPr>
        <w:spacing w:before="120" w:after="120"/>
        <w:ind w:firstLine="709"/>
        <w:jc w:val="both"/>
        <w:rPr>
          <w:rFonts w:ascii="Times New Roman" w:hAnsi="Times New Roman"/>
          <w:sz w:val="28"/>
          <w:szCs w:val="28"/>
          <w:lang w:val="nb-NO"/>
        </w:rPr>
      </w:pPr>
      <w:r w:rsidRPr="00C17CC8">
        <w:rPr>
          <w:rFonts w:ascii="Times New Roman" w:hAnsi="Times New Roman"/>
          <w:sz w:val="28"/>
          <w:szCs w:val="28"/>
          <w:lang w:val="nb-NO"/>
        </w:rPr>
        <w:t xml:space="preserve">Trong </w:t>
      </w:r>
      <w:r w:rsidR="00521F30">
        <w:rPr>
          <w:rFonts w:ascii="Times New Roman" w:hAnsi="Times New Roman"/>
          <w:sz w:val="28"/>
          <w:szCs w:val="28"/>
          <w:lang w:val="nb-NO"/>
        </w:rPr>
        <w:t>8</w:t>
      </w:r>
      <w:r w:rsidRPr="00C17CC8">
        <w:rPr>
          <w:rFonts w:ascii="Times New Roman" w:hAnsi="Times New Roman"/>
          <w:sz w:val="28"/>
          <w:szCs w:val="28"/>
          <w:lang w:val="nb-NO"/>
        </w:rPr>
        <w:t xml:space="preserve"> tháng đầu năm 2019, tổng kim ngạch thương mại giữa Việt Nam và Ru-ma-ni đạt </w:t>
      </w:r>
      <w:r w:rsidR="00521F30">
        <w:rPr>
          <w:rFonts w:ascii="Times New Roman" w:hAnsi="Times New Roman"/>
          <w:sz w:val="28"/>
          <w:szCs w:val="28"/>
          <w:lang w:val="nb-NO"/>
        </w:rPr>
        <w:t>174</w:t>
      </w:r>
      <w:r w:rsidRPr="00C17CC8">
        <w:rPr>
          <w:rFonts w:ascii="Times New Roman" w:hAnsi="Times New Roman"/>
          <w:sz w:val="28"/>
          <w:szCs w:val="28"/>
          <w:lang w:val="nb-NO"/>
        </w:rPr>
        <w:t>,</w:t>
      </w:r>
      <w:r w:rsidR="001A2F40">
        <w:rPr>
          <w:rFonts w:ascii="Times New Roman" w:hAnsi="Times New Roman"/>
          <w:sz w:val="28"/>
          <w:szCs w:val="28"/>
          <w:lang w:val="nb-NO"/>
        </w:rPr>
        <w:t>6</w:t>
      </w:r>
      <w:r w:rsidRPr="00C17CC8">
        <w:rPr>
          <w:rFonts w:ascii="Times New Roman" w:hAnsi="Times New Roman"/>
          <w:sz w:val="28"/>
          <w:szCs w:val="28"/>
          <w:lang w:val="vi-VN"/>
        </w:rPr>
        <w:t xml:space="preserve"> triệu</w:t>
      </w:r>
      <w:r w:rsidRPr="00C17CC8">
        <w:rPr>
          <w:rFonts w:ascii="Times New Roman" w:hAnsi="Times New Roman"/>
          <w:sz w:val="28"/>
          <w:szCs w:val="28"/>
          <w:lang w:val="nb-NO"/>
        </w:rPr>
        <w:t xml:space="preserve"> USD, tăng </w:t>
      </w:r>
      <w:r w:rsidR="00521F30">
        <w:rPr>
          <w:rFonts w:ascii="Times New Roman" w:hAnsi="Times New Roman"/>
          <w:sz w:val="28"/>
          <w:szCs w:val="28"/>
          <w:lang w:val="nb-NO"/>
        </w:rPr>
        <w:t>21</w:t>
      </w:r>
      <w:r w:rsidRPr="00C17CC8">
        <w:rPr>
          <w:rFonts w:ascii="Times New Roman" w:hAnsi="Times New Roman"/>
          <w:sz w:val="28"/>
          <w:szCs w:val="28"/>
          <w:lang w:val="nb-NO"/>
        </w:rPr>
        <w:t>,</w:t>
      </w:r>
      <w:r w:rsidR="00521F30">
        <w:rPr>
          <w:rFonts w:ascii="Times New Roman" w:hAnsi="Times New Roman"/>
          <w:sz w:val="28"/>
          <w:szCs w:val="28"/>
          <w:lang w:val="nb-NO"/>
        </w:rPr>
        <w:t>2</w:t>
      </w:r>
      <w:r w:rsidRPr="00C17CC8">
        <w:rPr>
          <w:rFonts w:ascii="Times New Roman" w:hAnsi="Times New Roman"/>
          <w:sz w:val="28"/>
          <w:szCs w:val="28"/>
          <w:lang w:val="nb-NO"/>
        </w:rPr>
        <w:t xml:space="preserve">% so với cùng kỳ năm 2018. Trong đó, xuất khẩu từ Việt Nam sang Ru-ma-ni đạt </w:t>
      </w:r>
      <w:r w:rsidR="00521F30">
        <w:rPr>
          <w:rFonts w:ascii="Times New Roman" w:hAnsi="Times New Roman"/>
          <w:sz w:val="28"/>
          <w:szCs w:val="28"/>
          <w:lang w:val="nb-NO"/>
        </w:rPr>
        <w:t>133</w:t>
      </w:r>
      <w:r w:rsidRPr="00C17CC8">
        <w:rPr>
          <w:rFonts w:ascii="Times New Roman" w:hAnsi="Times New Roman"/>
          <w:sz w:val="28"/>
          <w:szCs w:val="28"/>
          <w:lang w:val="nb-NO"/>
        </w:rPr>
        <w:t>,</w:t>
      </w:r>
      <w:r w:rsidR="00521F30">
        <w:rPr>
          <w:rFonts w:ascii="Times New Roman" w:hAnsi="Times New Roman"/>
          <w:sz w:val="28"/>
          <w:szCs w:val="28"/>
          <w:lang w:val="nb-NO"/>
        </w:rPr>
        <w:t>98</w:t>
      </w:r>
      <w:r w:rsidRPr="00C17CC8">
        <w:rPr>
          <w:rFonts w:ascii="Times New Roman" w:hAnsi="Times New Roman"/>
          <w:sz w:val="28"/>
          <w:szCs w:val="28"/>
          <w:lang w:val="nb-NO"/>
        </w:rPr>
        <w:t xml:space="preserve"> triệu USD, tăng </w:t>
      </w:r>
      <w:r w:rsidR="00521F30">
        <w:rPr>
          <w:rFonts w:ascii="Times New Roman" w:hAnsi="Times New Roman"/>
          <w:sz w:val="28"/>
          <w:szCs w:val="28"/>
          <w:lang w:val="nb-NO"/>
        </w:rPr>
        <w:t>39,6</w:t>
      </w:r>
      <w:r w:rsidRPr="00C17CC8">
        <w:rPr>
          <w:rFonts w:ascii="Times New Roman" w:hAnsi="Times New Roman"/>
          <w:sz w:val="28"/>
          <w:szCs w:val="28"/>
          <w:lang w:val="nb-NO"/>
        </w:rPr>
        <w:t xml:space="preserve">% so với cùng kỳ năm 2018 và nhập khẩu từ Ru-ma-ni sang Việt Nam đạt </w:t>
      </w:r>
      <w:r w:rsidR="00521F30">
        <w:rPr>
          <w:rFonts w:ascii="Times New Roman" w:hAnsi="Times New Roman"/>
          <w:sz w:val="28"/>
          <w:szCs w:val="28"/>
          <w:lang w:val="nb-NO"/>
        </w:rPr>
        <w:t>40</w:t>
      </w:r>
      <w:r w:rsidRPr="00C17CC8">
        <w:rPr>
          <w:rFonts w:ascii="Times New Roman" w:hAnsi="Times New Roman"/>
          <w:sz w:val="28"/>
          <w:szCs w:val="28"/>
          <w:lang w:val="nb-NO"/>
        </w:rPr>
        <w:t>,</w:t>
      </w:r>
      <w:r w:rsidR="00521F30">
        <w:rPr>
          <w:rFonts w:ascii="Times New Roman" w:hAnsi="Times New Roman"/>
          <w:sz w:val="28"/>
          <w:szCs w:val="28"/>
          <w:lang w:val="nb-NO"/>
        </w:rPr>
        <w:t>62</w:t>
      </w:r>
      <w:r w:rsidRPr="00C17CC8">
        <w:rPr>
          <w:rFonts w:ascii="Times New Roman" w:hAnsi="Times New Roman"/>
          <w:sz w:val="28"/>
          <w:szCs w:val="28"/>
          <w:lang w:val="nb-NO"/>
        </w:rPr>
        <w:t xml:space="preserve"> triệu USD, giảm </w:t>
      </w:r>
      <w:r w:rsidR="00521F30">
        <w:rPr>
          <w:rFonts w:ascii="Times New Roman" w:hAnsi="Times New Roman"/>
          <w:sz w:val="28"/>
          <w:szCs w:val="28"/>
          <w:lang w:val="nb-NO"/>
        </w:rPr>
        <w:t>15</w:t>
      </w:r>
      <w:r w:rsidRPr="00C17CC8">
        <w:rPr>
          <w:rFonts w:ascii="Times New Roman" w:hAnsi="Times New Roman"/>
          <w:sz w:val="28"/>
          <w:szCs w:val="28"/>
          <w:lang w:val="nb-NO"/>
        </w:rPr>
        <w:t>,</w:t>
      </w:r>
      <w:r w:rsidR="00521F30">
        <w:rPr>
          <w:rFonts w:ascii="Times New Roman" w:hAnsi="Times New Roman"/>
          <w:sz w:val="28"/>
          <w:szCs w:val="28"/>
          <w:lang w:val="nb-NO"/>
        </w:rPr>
        <w:t>5</w:t>
      </w:r>
      <w:r w:rsidRPr="00C17CC8">
        <w:rPr>
          <w:rFonts w:ascii="Times New Roman" w:hAnsi="Times New Roman"/>
          <w:sz w:val="28"/>
          <w:szCs w:val="28"/>
          <w:lang w:val="nb-NO"/>
        </w:rPr>
        <w:t>% so với cùng kỳ năm 2018.</w:t>
      </w:r>
    </w:p>
    <w:p w:rsidR="00132BBB" w:rsidRPr="00132BBB" w:rsidRDefault="00132BBB" w:rsidP="00914C06">
      <w:pPr>
        <w:spacing w:line="380" w:lineRule="exact"/>
        <w:jc w:val="center"/>
        <w:rPr>
          <w:rFonts w:ascii="Times New Roman" w:hAnsi="Times New Roman"/>
          <w:b/>
          <w:sz w:val="28"/>
          <w:szCs w:val="28"/>
          <w:lang w:val="nb-NO"/>
        </w:rPr>
      </w:pPr>
      <w:r w:rsidRPr="00132BBB">
        <w:rPr>
          <w:rFonts w:ascii="Times New Roman" w:hAnsi="Times New Roman"/>
          <w:b/>
          <w:sz w:val="28"/>
          <w:szCs w:val="28"/>
          <w:lang w:val="nb-NO"/>
        </w:rPr>
        <w:t>Kim ngạch thương mại Việt Nam – Ru-ma-ni</w:t>
      </w:r>
    </w:p>
    <w:p w:rsidR="00132BBB" w:rsidRPr="00914C06" w:rsidRDefault="00132BBB" w:rsidP="00914C06">
      <w:pPr>
        <w:ind w:left="5761" w:firstLine="720"/>
        <w:jc w:val="both"/>
        <w:rPr>
          <w:rFonts w:ascii="Times New Roman" w:hAnsi="Times New Roman"/>
          <w:i/>
          <w:sz w:val="26"/>
          <w:szCs w:val="26"/>
        </w:rPr>
      </w:pPr>
      <w:r w:rsidRPr="00914C06">
        <w:rPr>
          <w:rFonts w:ascii="Times New Roman" w:hAnsi="Times New Roman"/>
          <w:i/>
          <w:sz w:val="26"/>
          <w:szCs w:val="26"/>
        </w:rPr>
        <w:lastRenderedPageBreak/>
        <w:t>Đơn vị: triệu USD</w:t>
      </w:r>
    </w:p>
    <w:tbl>
      <w:tblPr>
        <w:tblW w:w="511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978"/>
        <w:gridCol w:w="972"/>
        <w:gridCol w:w="969"/>
        <w:gridCol w:w="969"/>
        <w:gridCol w:w="828"/>
        <w:gridCol w:w="969"/>
        <w:gridCol w:w="828"/>
        <w:gridCol w:w="1103"/>
      </w:tblGrid>
      <w:tr w:rsidR="00C17CC8" w:rsidRPr="004D2D45" w:rsidTr="00C17CC8">
        <w:tc>
          <w:tcPr>
            <w:tcW w:w="890" w:type="pct"/>
            <w:vAlign w:val="center"/>
          </w:tcPr>
          <w:p w:rsidR="00C17CC8" w:rsidRPr="004D2D45" w:rsidRDefault="00C17CC8" w:rsidP="004D2D45">
            <w:pPr>
              <w:spacing w:before="120" w:after="120"/>
              <w:rPr>
                <w:rFonts w:ascii="Times New Roman" w:hAnsi="Times New Roman"/>
                <w:b/>
                <w:sz w:val="24"/>
                <w:szCs w:val="24"/>
              </w:rPr>
            </w:pPr>
          </w:p>
        </w:tc>
        <w:tc>
          <w:tcPr>
            <w:tcW w:w="527" w:type="pct"/>
            <w:vAlign w:val="center"/>
          </w:tcPr>
          <w:p w:rsidR="00C17CC8" w:rsidRPr="004D2D45" w:rsidRDefault="00C17CC8" w:rsidP="004D2D45">
            <w:pPr>
              <w:spacing w:before="120" w:after="120"/>
              <w:jc w:val="center"/>
              <w:rPr>
                <w:rFonts w:ascii="Times New Roman" w:hAnsi="Times New Roman"/>
                <w:b/>
                <w:sz w:val="24"/>
                <w:szCs w:val="24"/>
              </w:rPr>
            </w:pPr>
            <w:r w:rsidRPr="004D2D45">
              <w:rPr>
                <w:rFonts w:ascii="Times New Roman" w:hAnsi="Times New Roman"/>
                <w:b/>
                <w:sz w:val="24"/>
                <w:szCs w:val="24"/>
              </w:rPr>
              <w:t>2012</w:t>
            </w:r>
          </w:p>
        </w:tc>
        <w:tc>
          <w:tcPr>
            <w:tcW w:w="524" w:type="pct"/>
            <w:vAlign w:val="center"/>
          </w:tcPr>
          <w:p w:rsidR="00C17CC8" w:rsidRPr="004D2D45" w:rsidRDefault="00C17CC8" w:rsidP="004D2D45">
            <w:pPr>
              <w:spacing w:before="120" w:after="120"/>
              <w:jc w:val="center"/>
              <w:rPr>
                <w:rFonts w:ascii="Times New Roman" w:hAnsi="Times New Roman"/>
                <w:b/>
                <w:sz w:val="24"/>
                <w:szCs w:val="24"/>
              </w:rPr>
            </w:pPr>
            <w:r w:rsidRPr="004D2D45">
              <w:rPr>
                <w:rFonts w:ascii="Times New Roman" w:hAnsi="Times New Roman"/>
                <w:b/>
                <w:sz w:val="24"/>
                <w:szCs w:val="24"/>
              </w:rPr>
              <w:t>2013</w:t>
            </w:r>
          </w:p>
        </w:tc>
        <w:tc>
          <w:tcPr>
            <w:tcW w:w="523" w:type="pct"/>
            <w:vAlign w:val="center"/>
          </w:tcPr>
          <w:p w:rsidR="00C17CC8" w:rsidRPr="004D2D45" w:rsidRDefault="00C17CC8" w:rsidP="004D2D45">
            <w:pPr>
              <w:spacing w:before="120" w:after="120"/>
              <w:jc w:val="center"/>
              <w:rPr>
                <w:rFonts w:ascii="Times New Roman" w:hAnsi="Times New Roman"/>
                <w:b/>
                <w:sz w:val="24"/>
                <w:szCs w:val="24"/>
              </w:rPr>
            </w:pPr>
            <w:r w:rsidRPr="004D2D45">
              <w:rPr>
                <w:rFonts w:ascii="Times New Roman" w:hAnsi="Times New Roman"/>
                <w:b/>
                <w:sz w:val="24"/>
                <w:szCs w:val="24"/>
              </w:rPr>
              <w:t>2014</w:t>
            </w:r>
          </w:p>
        </w:tc>
        <w:tc>
          <w:tcPr>
            <w:tcW w:w="523" w:type="pct"/>
            <w:vAlign w:val="center"/>
          </w:tcPr>
          <w:p w:rsidR="00C17CC8" w:rsidRPr="004D2D45" w:rsidRDefault="00C17CC8" w:rsidP="004D2D45">
            <w:pPr>
              <w:spacing w:before="120" w:after="120"/>
              <w:jc w:val="center"/>
              <w:rPr>
                <w:rFonts w:ascii="Times New Roman" w:hAnsi="Times New Roman"/>
                <w:b/>
                <w:sz w:val="24"/>
                <w:szCs w:val="24"/>
              </w:rPr>
            </w:pPr>
            <w:r w:rsidRPr="004D2D45">
              <w:rPr>
                <w:rFonts w:ascii="Times New Roman" w:hAnsi="Times New Roman"/>
                <w:b/>
                <w:sz w:val="24"/>
                <w:szCs w:val="24"/>
              </w:rPr>
              <w:t>2015</w:t>
            </w:r>
          </w:p>
        </w:tc>
        <w:tc>
          <w:tcPr>
            <w:tcW w:w="447" w:type="pct"/>
            <w:vAlign w:val="center"/>
          </w:tcPr>
          <w:p w:rsidR="00C17CC8" w:rsidRPr="004D2D45" w:rsidRDefault="00C17CC8" w:rsidP="004D2D45">
            <w:pPr>
              <w:spacing w:before="120" w:after="120"/>
              <w:jc w:val="center"/>
              <w:rPr>
                <w:rFonts w:ascii="Times New Roman" w:hAnsi="Times New Roman"/>
                <w:b/>
                <w:sz w:val="24"/>
                <w:szCs w:val="24"/>
              </w:rPr>
            </w:pPr>
            <w:r w:rsidRPr="004D2D45">
              <w:rPr>
                <w:rFonts w:ascii="Times New Roman" w:hAnsi="Times New Roman"/>
                <w:b/>
                <w:sz w:val="24"/>
                <w:szCs w:val="24"/>
              </w:rPr>
              <w:t>2016</w:t>
            </w:r>
          </w:p>
        </w:tc>
        <w:tc>
          <w:tcPr>
            <w:tcW w:w="523" w:type="pct"/>
            <w:vAlign w:val="center"/>
          </w:tcPr>
          <w:p w:rsidR="00C17CC8" w:rsidRPr="004D2D45" w:rsidRDefault="00C17CC8" w:rsidP="004D2D45">
            <w:pPr>
              <w:spacing w:before="120" w:after="120"/>
              <w:jc w:val="center"/>
              <w:rPr>
                <w:rFonts w:ascii="Times New Roman" w:hAnsi="Times New Roman"/>
                <w:b/>
                <w:sz w:val="24"/>
                <w:szCs w:val="24"/>
              </w:rPr>
            </w:pPr>
            <w:r w:rsidRPr="004D2D45">
              <w:rPr>
                <w:rFonts w:ascii="Times New Roman" w:hAnsi="Times New Roman"/>
                <w:b/>
                <w:sz w:val="24"/>
                <w:szCs w:val="24"/>
              </w:rPr>
              <w:t>2017</w:t>
            </w:r>
          </w:p>
        </w:tc>
        <w:tc>
          <w:tcPr>
            <w:tcW w:w="447" w:type="pct"/>
            <w:vAlign w:val="center"/>
          </w:tcPr>
          <w:p w:rsidR="00C17CC8" w:rsidRPr="004D2D45" w:rsidRDefault="00C17CC8" w:rsidP="004D2D45">
            <w:pPr>
              <w:spacing w:before="120" w:after="120"/>
              <w:jc w:val="center"/>
              <w:rPr>
                <w:rFonts w:ascii="Times New Roman" w:hAnsi="Times New Roman"/>
                <w:b/>
                <w:sz w:val="24"/>
                <w:szCs w:val="24"/>
              </w:rPr>
            </w:pPr>
            <w:r w:rsidRPr="004D2D45">
              <w:rPr>
                <w:rFonts w:ascii="Times New Roman" w:hAnsi="Times New Roman"/>
                <w:b/>
                <w:sz w:val="24"/>
                <w:szCs w:val="24"/>
              </w:rPr>
              <w:t>2018</w:t>
            </w:r>
          </w:p>
        </w:tc>
        <w:tc>
          <w:tcPr>
            <w:tcW w:w="595" w:type="pct"/>
          </w:tcPr>
          <w:p w:rsidR="00C17CC8" w:rsidRPr="004D2D45" w:rsidRDefault="001200D9" w:rsidP="004D2D45">
            <w:pPr>
              <w:spacing w:before="120" w:after="120"/>
              <w:jc w:val="center"/>
              <w:rPr>
                <w:rFonts w:ascii="Times New Roman" w:hAnsi="Times New Roman"/>
                <w:b/>
                <w:sz w:val="24"/>
                <w:szCs w:val="24"/>
              </w:rPr>
            </w:pPr>
            <w:r>
              <w:rPr>
                <w:rFonts w:ascii="Times New Roman" w:hAnsi="Times New Roman"/>
                <w:b/>
                <w:sz w:val="24"/>
                <w:szCs w:val="24"/>
              </w:rPr>
              <w:t>8</w:t>
            </w:r>
            <w:r w:rsidR="00C17CC8" w:rsidRPr="004D2D45">
              <w:rPr>
                <w:rFonts w:ascii="Times New Roman" w:hAnsi="Times New Roman"/>
                <w:b/>
                <w:sz w:val="24"/>
                <w:szCs w:val="24"/>
              </w:rPr>
              <w:t>T/2019</w:t>
            </w:r>
          </w:p>
        </w:tc>
      </w:tr>
      <w:tr w:rsidR="00C17CC8" w:rsidRPr="004D2D45" w:rsidTr="00C17CC8">
        <w:tc>
          <w:tcPr>
            <w:tcW w:w="890" w:type="pct"/>
            <w:vAlign w:val="center"/>
          </w:tcPr>
          <w:p w:rsidR="00C17CC8" w:rsidRPr="004D2D45" w:rsidRDefault="00C17CC8" w:rsidP="004D2D45">
            <w:pPr>
              <w:spacing w:before="120" w:after="120"/>
              <w:rPr>
                <w:rFonts w:ascii="Times New Roman" w:hAnsi="Times New Roman"/>
                <w:b/>
                <w:sz w:val="24"/>
                <w:szCs w:val="24"/>
              </w:rPr>
            </w:pPr>
            <w:r w:rsidRPr="004D2D45">
              <w:rPr>
                <w:rFonts w:ascii="Times New Roman" w:hAnsi="Times New Roman"/>
                <w:b/>
                <w:sz w:val="24"/>
                <w:szCs w:val="24"/>
              </w:rPr>
              <w:t>Xuất khẩu</w:t>
            </w:r>
          </w:p>
        </w:tc>
        <w:tc>
          <w:tcPr>
            <w:tcW w:w="527"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80,60</w:t>
            </w:r>
          </w:p>
        </w:tc>
        <w:tc>
          <w:tcPr>
            <w:tcW w:w="524"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69,14</w:t>
            </w:r>
          </w:p>
        </w:tc>
        <w:tc>
          <w:tcPr>
            <w:tcW w:w="523"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99,25</w:t>
            </w:r>
          </w:p>
        </w:tc>
        <w:tc>
          <w:tcPr>
            <w:tcW w:w="523"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102,20</w:t>
            </w:r>
          </w:p>
        </w:tc>
        <w:tc>
          <w:tcPr>
            <w:tcW w:w="447"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97,2</w:t>
            </w:r>
          </w:p>
        </w:tc>
        <w:tc>
          <w:tcPr>
            <w:tcW w:w="523"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119,68</w:t>
            </w:r>
          </w:p>
        </w:tc>
        <w:tc>
          <w:tcPr>
            <w:tcW w:w="447"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146,8</w:t>
            </w:r>
          </w:p>
        </w:tc>
        <w:tc>
          <w:tcPr>
            <w:tcW w:w="595" w:type="pct"/>
          </w:tcPr>
          <w:p w:rsidR="00C17CC8" w:rsidRPr="004D2D45" w:rsidRDefault="00521F30" w:rsidP="004D2D45">
            <w:pPr>
              <w:spacing w:before="120" w:after="120"/>
              <w:jc w:val="center"/>
              <w:rPr>
                <w:rFonts w:ascii="Times New Roman" w:hAnsi="Times New Roman"/>
                <w:sz w:val="24"/>
                <w:szCs w:val="24"/>
              </w:rPr>
            </w:pPr>
            <w:r>
              <w:rPr>
                <w:rFonts w:ascii="Times New Roman" w:hAnsi="Times New Roman"/>
                <w:sz w:val="24"/>
                <w:szCs w:val="24"/>
              </w:rPr>
              <w:t>133,98</w:t>
            </w:r>
          </w:p>
        </w:tc>
      </w:tr>
      <w:tr w:rsidR="00C17CC8" w:rsidRPr="004D2D45" w:rsidTr="00C17CC8">
        <w:tc>
          <w:tcPr>
            <w:tcW w:w="890" w:type="pct"/>
            <w:vAlign w:val="center"/>
          </w:tcPr>
          <w:p w:rsidR="00C17CC8" w:rsidRPr="004D2D45" w:rsidRDefault="00C17CC8" w:rsidP="004D2D45">
            <w:pPr>
              <w:spacing w:before="120" w:after="120"/>
              <w:rPr>
                <w:rFonts w:ascii="Times New Roman" w:hAnsi="Times New Roman"/>
                <w:b/>
                <w:sz w:val="24"/>
                <w:szCs w:val="24"/>
              </w:rPr>
            </w:pPr>
            <w:r w:rsidRPr="004D2D45">
              <w:rPr>
                <w:rFonts w:ascii="Times New Roman" w:hAnsi="Times New Roman"/>
                <w:b/>
                <w:sz w:val="24"/>
                <w:szCs w:val="24"/>
              </w:rPr>
              <w:t>Nhập khẩu</w:t>
            </w:r>
          </w:p>
        </w:tc>
        <w:tc>
          <w:tcPr>
            <w:tcW w:w="527"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21,92</w:t>
            </w:r>
          </w:p>
        </w:tc>
        <w:tc>
          <w:tcPr>
            <w:tcW w:w="524"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47,17</w:t>
            </w:r>
          </w:p>
        </w:tc>
        <w:tc>
          <w:tcPr>
            <w:tcW w:w="523"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51,91</w:t>
            </w:r>
          </w:p>
        </w:tc>
        <w:tc>
          <w:tcPr>
            <w:tcW w:w="523"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73,43</w:t>
            </w:r>
          </w:p>
        </w:tc>
        <w:tc>
          <w:tcPr>
            <w:tcW w:w="447"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168,3</w:t>
            </w:r>
          </w:p>
        </w:tc>
        <w:tc>
          <w:tcPr>
            <w:tcW w:w="523"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86,13</w:t>
            </w:r>
          </w:p>
        </w:tc>
        <w:tc>
          <w:tcPr>
            <w:tcW w:w="447"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71,5</w:t>
            </w:r>
          </w:p>
        </w:tc>
        <w:tc>
          <w:tcPr>
            <w:tcW w:w="595" w:type="pct"/>
          </w:tcPr>
          <w:p w:rsidR="00C17CC8" w:rsidRPr="004D2D45" w:rsidRDefault="00521F30" w:rsidP="00521F30">
            <w:pPr>
              <w:spacing w:before="120" w:after="120"/>
              <w:jc w:val="center"/>
              <w:rPr>
                <w:rFonts w:ascii="Times New Roman" w:hAnsi="Times New Roman"/>
                <w:sz w:val="24"/>
                <w:szCs w:val="24"/>
              </w:rPr>
            </w:pPr>
            <w:r>
              <w:rPr>
                <w:rFonts w:ascii="Times New Roman" w:hAnsi="Times New Roman"/>
                <w:sz w:val="24"/>
                <w:szCs w:val="24"/>
              </w:rPr>
              <w:t>40</w:t>
            </w:r>
            <w:r w:rsidR="00C17CC8" w:rsidRPr="004D2D45">
              <w:rPr>
                <w:rFonts w:ascii="Times New Roman" w:hAnsi="Times New Roman"/>
                <w:sz w:val="24"/>
                <w:szCs w:val="24"/>
              </w:rPr>
              <w:t>,</w:t>
            </w:r>
            <w:r>
              <w:rPr>
                <w:rFonts w:ascii="Times New Roman" w:hAnsi="Times New Roman"/>
                <w:sz w:val="24"/>
                <w:szCs w:val="24"/>
              </w:rPr>
              <w:t>62</w:t>
            </w:r>
          </w:p>
        </w:tc>
      </w:tr>
      <w:tr w:rsidR="00C17CC8" w:rsidRPr="004D2D45" w:rsidTr="00C17CC8">
        <w:tc>
          <w:tcPr>
            <w:tcW w:w="890" w:type="pct"/>
            <w:vAlign w:val="center"/>
          </w:tcPr>
          <w:p w:rsidR="00C17CC8" w:rsidRPr="004D2D45" w:rsidRDefault="00C17CC8" w:rsidP="004D2D45">
            <w:pPr>
              <w:spacing w:before="120" w:after="120"/>
              <w:rPr>
                <w:rFonts w:ascii="Times New Roman" w:hAnsi="Times New Roman"/>
                <w:b/>
                <w:sz w:val="24"/>
                <w:szCs w:val="24"/>
              </w:rPr>
            </w:pPr>
            <w:r w:rsidRPr="004D2D45">
              <w:rPr>
                <w:rFonts w:ascii="Times New Roman" w:hAnsi="Times New Roman"/>
                <w:b/>
                <w:sz w:val="24"/>
                <w:szCs w:val="24"/>
              </w:rPr>
              <w:t>Tổng KN</w:t>
            </w:r>
          </w:p>
        </w:tc>
        <w:tc>
          <w:tcPr>
            <w:tcW w:w="527"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102,52</w:t>
            </w:r>
          </w:p>
        </w:tc>
        <w:tc>
          <w:tcPr>
            <w:tcW w:w="524"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116,31</w:t>
            </w:r>
          </w:p>
        </w:tc>
        <w:tc>
          <w:tcPr>
            <w:tcW w:w="523"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151,16</w:t>
            </w:r>
          </w:p>
        </w:tc>
        <w:tc>
          <w:tcPr>
            <w:tcW w:w="523"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175,64</w:t>
            </w:r>
          </w:p>
        </w:tc>
        <w:tc>
          <w:tcPr>
            <w:tcW w:w="447"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265,5</w:t>
            </w:r>
          </w:p>
        </w:tc>
        <w:tc>
          <w:tcPr>
            <w:tcW w:w="523"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205,81</w:t>
            </w:r>
          </w:p>
        </w:tc>
        <w:tc>
          <w:tcPr>
            <w:tcW w:w="447" w:type="pct"/>
            <w:vAlign w:val="center"/>
          </w:tcPr>
          <w:p w:rsidR="00C17CC8" w:rsidRPr="004D2D45" w:rsidRDefault="00C17CC8" w:rsidP="004D2D45">
            <w:pPr>
              <w:spacing w:before="120" w:after="120"/>
              <w:jc w:val="center"/>
              <w:rPr>
                <w:rFonts w:ascii="Times New Roman" w:hAnsi="Times New Roman"/>
                <w:sz w:val="24"/>
                <w:szCs w:val="24"/>
              </w:rPr>
            </w:pPr>
            <w:r w:rsidRPr="004D2D45">
              <w:rPr>
                <w:rFonts w:ascii="Times New Roman" w:hAnsi="Times New Roman"/>
                <w:sz w:val="24"/>
                <w:szCs w:val="24"/>
              </w:rPr>
              <w:t>218,3</w:t>
            </w:r>
          </w:p>
        </w:tc>
        <w:tc>
          <w:tcPr>
            <w:tcW w:w="595" w:type="pct"/>
          </w:tcPr>
          <w:p w:rsidR="00C17CC8" w:rsidRPr="004D2D45" w:rsidRDefault="00521F30" w:rsidP="00521F30">
            <w:pPr>
              <w:spacing w:before="120" w:after="120"/>
              <w:jc w:val="center"/>
              <w:rPr>
                <w:rFonts w:ascii="Times New Roman" w:hAnsi="Times New Roman"/>
                <w:sz w:val="24"/>
                <w:szCs w:val="24"/>
              </w:rPr>
            </w:pPr>
            <w:r>
              <w:rPr>
                <w:rFonts w:ascii="Times New Roman" w:hAnsi="Times New Roman"/>
                <w:sz w:val="24"/>
                <w:szCs w:val="24"/>
              </w:rPr>
              <w:t>174</w:t>
            </w:r>
            <w:r w:rsidR="00C17CC8" w:rsidRPr="004D2D45">
              <w:rPr>
                <w:rFonts w:ascii="Times New Roman" w:hAnsi="Times New Roman"/>
                <w:sz w:val="24"/>
                <w:szCs w:val="24"/>
              </w:rPr>
              <w:t>,</w:t>
            </w:r>
            <w:r>
              <w:rPr>
                <w:rFonts w:ascii="Times New Roman" w:hAnsi="Times New Roman"/>
                <w:sz w:val="24"/>
                <w:szCs w:val="24"/>
              </w:rPr>
              <w:t>6</w:t>
            </w:r>
          </w:p>
        </w:tc>
      </w:tr>
    </w:tbl>
    <w:p w:rsidR="00132BBB" w:rsidRPr="00914C06" w:rsidRDefault="00132BBB" w:rsidP="00132BBB">
      <w:pPr>
        <w:spacing w:before="120" w:after="120" w:line="380" w:lineRule="exact"/>
        <w:ind w:firstLine="709"/>
        <w:jc w:val="both"/>
        <w:rPr>
          <w:rFonts w:ascii="Times New Roman" w:hAnsi="Times New Roman"/>
          <w:sz w:val="26"/>
          <w:szCs w:val="26"/>
        </w:rPr>
      </w:pPr>
      <w:r w:rsidRPr="00132BBB">
        <w:rPr>
          <w:rFonts w:ascii="Times New Roman" w:hAnsi="Times New Roman"/>
          <w:i/>
          <w:sz w:val="28"/>
          <w:szCs w:val="28"/>
        </w:rPr>
        <w:t xml:space="preserve">  </w:t>
      </w:r>
      <w:r w:rsidRPr="00132BBB">
        <w:rPr>
          <w:rFonts w:ascii="Times New Roman" w:hAnsi="Times New Roman"/>
          <w:i/>
          <w:sz w:val="28"/>
          <w:szCs w:val="28"/>
        </w:rPr>
        <w:tab/>
      </w:r>
      <w:r w:rsidRPr="00132BBB">
        <w:rPr>
          <w:rFonts w:ascii="Times New Roman" w:hAnsi="Times New Roman"/>
          <w:i/>
          <w:sz w:val="28"/>
          <w:szCs w:val="28"/>
        </w:rPr>
        <w:tab/>
      </w:r>
      <w:r w:rsidRPr="00132BBB">
        <w:rPr>
          <w:rFonts w:ascii="Times New Roman" w:hAnsi="Times New Roman"/>
          <w:i/>
          <w:sz w:val="28"/>
          <w:szCs w:val="28"/>
        </w:rPr>
        <w:tab/>
      </w:r>
      <w:r w:rsidRPr="00132BBB">
        <w:rPr>
          <w:rFonts w:ascii="Times New Roman" w:hAnsi="Times New Roman"/>
          <w:i/>
          <w:sz w:val="28"/>
          <w:szCs w:val="28"/>
        </w:rPr>
        <w:tab/>
        <w:t xml:space="preserve">  </w:t>
      </w:r>
      <w:r w:rsidRPr="00132BBB">
        <w:rPr>
          <w:rFonts w:ascii="Times New Roman" w:hAnsi="Times New Roman"/>
          <w:i/>
          <w:sz w:val="28"/>
          <w:szCs w:val="28"/>
        </w:rPr>
        <w:tab/>
      </w:r>
      <w:r w:rsidRPr="00914C06">
        <w:rPr>
          <w:rFonts w:ascii="Times New Roman" w:hAnsi="Times New Roman"/>
          <w:i/>
          <w:sz w:val="26"/>
          <w:szCs w:val="26"/>
        </w:rPr>
        <w:t xml:space="preserve"> Nguồn: Tổng cục Hải quan Việt Nam</w:t>
      </w:r>
    </w:p>
    <w:p w:rsidR="00A01675" w:rsidRDefault="00A01675" w:rsidP="00132BBB">
      <w:pPr>
        <w:spacing w:before="120" w:after="120" w:line="380" w:lineRule="exact"/>
        <w:ind w:firstLine="709"/>
        <w:jc w:val="both"/>
        <w:rPr>
          <w:rFonts w:ascii="Times New Roman" w:hAnsi="Times New Roman"/>
          <w:sz w:val="28"/>
          <w:szCs w:val="28"/>
        </w:rPr>
      </w:pPr>
      <w:r w:rsidRPr="00A01675">
        <w:rPr>
          <w:rFonts w:ascii="Times New Roman" w:hAnsi="Times New Roman"/>
          <w:sz w:val="28"/>
          <w:szCs w:val="28"/>
        </w:rPr>
        <w:t xml:space="preserve">Việt Nam xuất khẩu sang Ru-ma-ni chủ yếu là </w:t>
      </w:r>
      <w:r>
        <w:rPr>
          <w:rFonts w:ascii="Times New Roman" w:hAnsi="Times New Roman"/>
          <w:sz w:val="28"/>
          <w:szCs w:val="28"/>
        </w:rPr>
        <w:t xml:space="preserve">máy móc và thiết bị phụ tùng, </w:t>
      </w:r>
      <w:r w:rsidRPr="00A01675">
        <w:rPr>
          <w:rFonts w:ascii="Times New Roman" w:hAnsi="Times New Roman"/>
          <w:sz w:val="28"/>
          <w:szCs w:val="28"/>
        </w:rPr>
        <w:t xml:space="preserve">cà phê, </w:t>
      </w:r>
      <w:r>
        <w:rPr>
          <w:rFonts w:ascii="Times New Roman" w:hAnsi="Times New Roman"/>
          <w:sz w:val="28"/>
          <w:szCs w:val="28"/>
        </w:rPr>
        <w:t>thủy</w:t>
      </w:r>
      <w:r w:rsidRPr="00A01675">
        <w:rPr>
          <w:rFonts w:ascii="Times New Roman" w:hAnsi="Times New Roman"/>
          <w:sz w:val="28"/>
          <w:szCs w:val="28"/>
        </w:rPr>
        <w:t xml:space="preserve"> sản, giày dép, dệt may, rau quả, hạt tiêu…Việt Nam nhập khẩu từ Ru-ma-ni chủ yếu sắt thép và các sản phẩm sắt thép, máy móc thiết bị, đồ gỗ, dược phẩm và hóa chất…</w:t>
      </w:r>
    </w:p>
    <w:p w:rsidR="00521F30" w:rsidRPr="00521F30" w:rsidRDefault="00703EE0" w:rsidP="00521F30">
      <w:pPr>
        <w:spacing w:before="120" w:after="120" w:line="380" w:lineRule="exact"/>
        <w:ind w:firstLine="709"/>
        <w:jc w:val="both"/>
        <w:rPr>
          <w:rFonts w:ascii="Times New Roman" w:hAnsi="Times New Roman"/>
          <w:sz w:val="28"/>
          <w:szCs w:val="28"/>
        </w:rPr>
      </w:pPr>
      <w:r>
        <w:rPr>
          <w:rFonts w:ascii="Times New Roman" w:hAnsi="Times New Roman"/>
          <w:sz w:val="28"/>
          <w:szCs w:val="28"/>
        </w:rPr>
        <w:t>Về đầu tư, t</w:t>
      </w:r>
      <w:r w:rsidR="00521F30" w:rsidRPr="00521F30">
        <w:rPr>
          <w:rFonts w:ascii="Times New Roman" w:hAnsi="Times New Roman"/>
          <w:sz w:val="28"/>
          <w:szCs w:val="28"/>
        </w:rPr>
        <w:t xml:space="preserve">ính đến 20/8/2019, Rumani có 02 dự án đầu tư còn hiệu lực tại Việt Nam với tổng vốn đầu tư đăng ký là 1,2 triệu USD, đứng thứ 92 trong tổng số 132 quốc gia và vùng lãnh thổ có hoạt động đầu tư tại Việt Nam. Cả 2 dự án đều được đầu tư theo hình thức 100% vốn nước ngoài thuộc lĩnh vực công nghiệp chế biến, chế tạo, cụ thể như sau: </w:t>
      </w:r>
    </w:p>
    <w:p w:rsidR="00521F30" w:rsidRPr="00521F30" w:rsidRDefault="00521F30" w:rsidP="00521F30">
      <w:pPr>
        <w:spacing w:before="120" w:after="120" w:line="380" w:lineRule="exact"/>
        <w:ind w:firstLine="709"/>
        <w:jc w:val="both"/>
        <w:rPr>
          <w:rFonts w:ascii="Times New Roman" w:hAnsi="Times New Roman"/>
          <w:sz w:val="28"/>
          <w:szCs w:val="28"/>
        </w:rPr>
      </w:pPr>
      <w:r w:rsidRPr="00521F30">
        <w:rPr>
          <w:rFonts w:ascii="Times New Roman" w:hAnsi="Times New Roman"/>
          <w:sz w:val="28"/>
          <w:szCs w:val="28"/>
        </w:rPr>
        <w:t>(1) Dự án Công ty TNHH Alewijinse, cấp phép ngày 21/2/2011, tổng vốn đầu tư 0,5 triệu USD tại Hải Phòng, với mục tiêu thực hiện quyền nhập khẩu thiết bị điện trong công nghiệp tàu thủy và lắp đặt bảo trì;</w:t>
      </w:r>
    </w:p>
    <w:p w:rsidR="00521F30" w:rsidRPr="00521F30" w:rsidRDefault="00521F30" w:rsidP="00521F30">
      <w:pPr>
        <w:spacing w:before="120" w:after="120" w:line="380" w:lineRule="exact"/>
        <w:ind w:firstLine="709"/>
        <w:jc w:val="both"/>
        <w:rPr>
          <w:rFonts w:ascii="Times New Roman" w:hAnsi="Times New Roman"/>
          <w:sz w:val="28"/>
          <w:szCs w:val="28"/>
        </w:rPr>
      </w:pPr>
      <w:r w:rsidRPr="00521F30">
        <w:rPr>
          <w:rFonts w:ascii="Times New Roman" w:hAnsi="Times New Roman"/>
          <w:sz w:val="28"/>
          <w:szCs w:val="28"/>
        </w:rPr>
        <w:t xml:space="preserve">(2) Dự án Công ty TNHH GP Sofa Components, cấp phép ngày 24/01/2014, tổng vốn 0,7 triệu USD, tại Bình Dương, sản xuất sản phẩm trang trí nội thất, phụ kiện và bán thành phẩm dành cho ghế sofa. </w:t>
      </w:r>
    </w:p>
    <w:p w:rsidR="00521F30" w:rsidRDefault="00521F30" w:rsidP="00521F30">
      <w:pPr>
        <w:spacing w:before="120" w:after="120" w:line="380" w:lineRule="exact"/>
        <w:ind w:firstLine="709"/>
        <w:jc w:val="both"/>
        <w:rPr>
          <w:rFonts w:ascii="Times New Roman" w:hAnsi="Times New Roman"/>
          <w:sz w:val="28"/>
          <w:szCs w:val="28"/>
          <w:lang w:val="nb-NO"/>
        </w:rPr>
      </w:pPr>
      <w:r w:rsidRPr="00521F30">
        <w:rPr>
          <w:rFonts w:ascii="Times New Roman" w:hAnsi="Times New Roman"/>
          <w:sz w:val="28"/>
          <w:szCs w:val="28"/>
        </w:rPr>
        <w:t>Đến nay, Việt Nam có 01 dự án đầu tư vào Rumani với tổng vốn đầu tư 600 nghìn USD.</w:t>
      </w:r>
      <w:r w:rsidR="00132BBB" w:rsidRPr="00132BBB">
        <w:rPr>
          <w:rFonts w:ascii="Times New Roman" w:hAnsi="Times New Roman"/>
          <w:sz w:val="28"/>
          <w:szCs w:val="28"/>
          <w:lang w:val="nb-NO"/>
        </w:rPr>
        <w:t xml:space="preserve"> </w:t>
      </w:r>
    </w:p>
    <w:p w:rsidR="00132BBB" w:rsidRDefault="00132BBB" w:rsidP="00521F30">
      <w:pPr>
        <w:spacing w:before="120" w:after="120" w:line="380" w:lineRule="exact"/>
        <w:ind w:firstLine="709"/>
        <w:jc w:val="both"/>
        <w:rPr>
          <w:rFonts w:ascii="Times New Roman" w:hAnsi="Times New Roman"/>
          <w:sz w:val="28"/>
          <w:szCs w:val="28"/>
          <w:lang w:val="nb-NO"/>
        </w:rPr>
      </w:pPr>
      <w:r w:rsidRPr="00132BBB">
        <w:rPr>
          <w:rFonts w:ascii="Times New Roman" w:hAnsi="Times New Roman"/>
          <w:sz w:val="28"/>
          <w:szCs w:val="28"/>
          <w:lang w:val="nb-NO"/>
        </w:rPr>
        <w:t>Theo số liệu do phòng Thương mại và Công nghiệp Ru-ma-ni cung cấp, cho đến cuối năm 2018, có khoảng hơn 200 công ty Việt Nam đang hoạt động tại Ru-ma-ni với số vốn đăng ký là 2,1 triệu Euro.</w:t>
      </w:r>
    </w:p>
    <w:p w:rsidR="0009091E" w:rsidRPr="00132BBB" w:rsidRDefault="0009091E" w:rsidP="00521F30">
      <w:pPr>
        <w:spacing w:before="120" w:after="120" w:line="380" w:lineRule="exact"/>
        <w:ind w:firstLine="709"/>
        <w:jc w:val="both"/>
        <w:rPr>
          <w:rFonts w:ascii="Times New Roman" w:hAnsi="Times New Roman"/>
          <w:sz w:val="28"/>
          <w:szCs w:val="28"/>
          <w:lang w:val="nb-NO"/>
        </w:rPr>
      </w:pPr>
      <w:r w:rsidRPr="0009091E">
        <w:rPr>
          <w:rFonts w:ascii="Times New Roman" w:hAnsi="Times New Roman"/>
          <w:sz w:val="28"/>
          <w:szCs w:val="28"/>
          <w:lang w:val="nb-NO"/>
        </w:rPr>
        <w:t>Hai bên đã tích cực tham gia đàm phán và tiến tới ký kết Hiệp định thương mại tự do (FTA) và Hiệp định Bảo hộ đầu tư (IPA) giữa Việt Nam và Liên minh châu Âu</w:t>
      </w:r>
      <w:r>
        <w:rPr>
          <w:rFonts w:ascii="Times New Roman" w:hAnsi="Times New Roman"/>
          <w:sz w:val="28"/>
          <w:szCs w:val="28"/>
          <w:lang w:val="nb-NO"/>
        </w:rPr>
        <w:t xml:space="preserve"> vào ngày 30/6/2019</w:t>
      </w:r>
      <w:r w:rsidRPr="0009091E">
        <w:rPr>
          <w:rFonts w:ascii="Times New Roman" w:hAnsi="Times New Roman"/>
          <w:sz w:val="28"/>
          <w:szCs w:val="28"/>
          <w:lang w:val="nb-NO"/>
        </w:rPr>
        <w:t>, mở ra cơ hội phát triển thương mại đầu tư giữa Việt Nam và liên minh châu Âu nói chung và quan hệ song phương giữa Việt Nam và Ru-ma-ni nói riêng.</w:t>
      </w:r>
    </w:p>
    <w:p w:rsidR="00132BBB" w:rsidRPr="00132BBB" w:rsidRDefault="00132BBB" w:rsidP="00132BBB">
      <w:pPr>
        <w:spacing w:before="120" w:after="120" w:line="380" w:lineRule="exact"/>
        <w:ind w:firstLine="709"/>
        <w:jc w:val="both"/>
        <w:rPr>
          <w:rFonts w:ascii="Times New Roman" w:hAnsi="Times New Roman"/>
          <w:b/>
          <w:i/>
          <w:sz w:val="28"/>
          <w:szCs w:val="28"/>
          <w:lang w:val="nb-NO"/>
        </w:rPr>
      </w:pPr>
      <w:r w:rsidRPr="00132BBB">
        <w:rPr>
          <w:rFonts w:ascii="Times New Roman" w:hAnsi="Times New Roman"/>
          <w:b/>
          <w:i/>
          <w:sz w:val="28"/>
          <w:szCs w:val="28"/>
          <w:lang w:val="nb-NO"/>
        </w:rPr>
        <w:t xml:space="preserve">2. </w:t>
      </w:r>
      <w:r w:rsidR="00357472">
        <w:rPr>
          <w:rFonts w:ascii="Times New Roman" w:hAnsi="Times New Roman"/>
          <w:b/>
          <w:i/>
          <w:sz w:val="28"/>
          <w:szCs w:val="28"/>
          <w:lang w:val="nb-NO"/>
        </w:rPr>
        <w:t>Lĩnh vực</w:t>
      </w:r>
      <w:r w:rsidRPr="00132BBB">
        <w:rPr>
          <w:rFonts w:ascii="Times New Roman" w:hAnsi="Times New Roman"/>
          <w:b/>
          <w:i/>
          <w:sz w:val="28"/>
          <w:szCs w:val="28"/>
          <w:lang w:val="nb-NO"/>
        </w:rPr>
        <w:t xml:space="preserve"> công nghiệp</w:t>
      </w:r>
      <w:r w:rsidR="00DA62BA">
        <w:rPr>
          <w:rFonts w:ascii="Times New Roman" w:hAnsi="Times New Roman"/>
          <w:b/>
          <w:i/>
          <w:sz w:val="28"/>
          <w:szCs w:val="28"/>
          <w:lang w:val="nb-NO"/>
        </w:rPr>
        <w:t>, năng lượng</w:t>
      </w:r>
    </w:p>
    <w:p w:rsidR="00132BBB" w:rsidRDefault="000C1B60" w:rsidP="00132BBB">
      <w:pPr>
        <w:spacing w:before="120" w:after="120" w:line="380" w:lineRule="exact"/>
        <w:ind w:firstLine="709"/>
        <w:jc w:val="both"/>
        <w:rPr>
          <w:rFonts w:ascii="Times New Roman" w:hAnsi="Times New Roman"/>
          <w:sz w:val="28"/>
          <w:szCs w:val="28"/>
          <w:lang w:val="nb-NO"/>
        </w:rPr>
      </w:pPr>
      <w:r w:rsidRPr="000C1B60">
        <w:rPr>
          <w:rFonts w:ascii="Times New Roman" w:hAnsi="Times New Roman"/>
          <w:sz w:val="28"/>
          <w:szCs w:val="28"/>
          <w:lang w:val="nb-NO"/>
        </w:rPr>
        <w:lastRenderedPageBreak/>
        <w:t>Hai nước đã ký kết một số MOUs về hợp tác trong lĩnh vực năng lượng (điện và gas) nhân chuyến thăm Việt nam của Thủ tưởng Rumania Dacian Ciolos vào tháng 7/2016. Tuy nhiên việc triển khai các MOUs này còn chậm nên chưa phát huy được hiệu quả.</w:t>
      </w:r>
    </w:p>
    <w:p w:rsidR="0009091E" w:rsidRPr="0009091E" w:rsidRDefault="0009091E" w:rsidP="0009091E">
      <w:pPr>
        <w:spacing w:before="120" w:after="120" w:line="380" w:lineRule="exact"/>
        <w:ind w:firstLine="709"/>
        <w:jc w:val="both"/>
        <w:rPr>
          <w:rFonts w:ascii="Times New Roman" w:hAnsi="Times New Roman"/>
          <w:sz w:val="28"/>
          <w:szCs w:val="28"/>
          <w:lang w:val="nb-NO"/>
        </w:rPr>
      </w:pPr>
      <w:r w:rsidRPr="0009091E">
        <w:rPr>
          <w:rFonts w:ascii="Times New Roman" w:hAnsi="Times New Roman"/>
          <w:sz w:val="28"/>
          <w:szCs w:val="28"/>
          <w:lang w:val="nb-NO"/>
        </w:rPr>
        <w:t>- Trong lĩnh vực dầu khí và than, hiện không có dự án hợp tác nào giữa Việt Nam với Rumani (trước đây Công ty Petroconsult - Rumani đào tạo kỹ sư và công nhân vận hành Nhà máy lọc dầu Dung Quất nhưng đã hoàn thành).</w:t>
      </w:r>
    </w:p>
    <w:p w:rsidR="0009091E" w:rsidRPr="0009091E" w:rsidRDefault="0009091E" w:rsidP="0009091E">
      <w:pPr>
        <w:spacing w:before="120" w:after="120" w:line="380" w:lineRule="exact"/>
        <w:ind w:firstLine="709"/>
        <w:jc w:val="both"/>
        <w:rPr>
          <w:rFonts w:ascii="Times New Roman" w:hAnsi="Times New Roman"/>
          <w:sz w:val="28"/>
          <w:szCs w:val="28"/>
          <w:lang w:val="nb-NO"/>
        </w:rPr>
      </w:pPr>
      <w:r w:rsidRPr="0009091E">
        <w:rPr>
          <w:rFonts w:ascii="Times New Roman" w:hAnsi="Times New Roman"/>
          <w:sz w:val="28"/>
          <w:szCs w:val="28"/>
          <w:lang w:val="nb-NO"/>
        </w:rPr>
        <w:t>- Lĩnh vực công nghiệp chưa có hợp tác cụ thể.</w:t>
      </w:r>
    </w:p>
    <w:p w:rsidR="0009091E" w:rsidRPr="00EC239F" w:rsidRDefault="0009091E" w:rsidP="0009091E">
      <w:pPr>
        <w:spacing w:before="120" w:after="120" w:line="380" w:lineRule="exact"/>
        <w:ind w:firstLine="709"/>
        <w:jc w:val="both"/>
        <w:rPr>
          <w:rFonts w:ascii="Times New Roman" w:hAnsi="Times New Roman"/>
          <w:sz w:val="28"/>
          <w:szCs w:val="28"/>
          <w:lang w:val="nb-NO"/>
        </w:rPr>
      </w:pPr>
      <w:r w:rsidRPr="0009091E">
        <w:rPr>
          <w:rFonts w:ascii="Times New Roman" w:hAnsi="Times New Roman"/>
          <w:sz w:val="28"/>
          <w:szCs w:val="28"/>
          <w:lang w:val="nb-NO"/>
        </w:rPr>
        <w:t>- Các nội dung hợp tác trong Biên bản Khóa họp 15 UBHH Việt Nam – Rumani đang tiếp tục các Bên tiếp tục triển khai, chưa có kết quả cụ thể.</w:t>
      </w:r>
    </w:p>
    <w:p w:rsidR="00132BBB" w:rsidRDefault="00132BBB" w:rsidP="00132BBB">
      <w:pPr>
        <w:spacing w:before="120" w:after="120" w:line="380" w:lineRule="exact"/>
        <w:ind w:firstLine="709"/>
        <w:jc w:val="both"/>
        <w:rPr>
          <w:rFonts w:ascii="Times New Roman" w:hAnsi="Times New Roman"/>
          <w:sz w:val="28"/>
          <w:szCs w:val="28"/>
        </w:rPr>
      </w:pPr>
      <w:r w:rsidRPr="00132BBB">
        <w:rPr>
          <w:rFonts w:ascii="Times New Roman" w:hAnsi="Times New Roman"/>
          <w:sz w:val="28"/>
          <w:szCs w:val="28"/>
        </w:rPr>
        <w:t>Ru-ma-ni có thế mạnh trong các lĩnh vực như sản xuất, truyền tải điện; khai thác dầu khí; đóng tàu và công nghiệp cơ khí, chế tạo. Vì vậy, ta có thể hợp tác với bạn thông qua chuyển giao công nghệ hoặc thành lập các liên doanh tại Việt nam trong lĩnh vực như: công nghiệp cơ khí, chế tạo máy và luyện kim, công nghiệp dệt, công nghiệp thực phẩm…</w:t>
      </w:r>
    </w:p>
    <w:p w:rsidR="0009091E" w:rsidRPr="0009091E" w:rsidRDefault="0009091E" w:rsidP="00132BBB">
      <w:pPr>
        <w:spacing w:before="120" w:after="120" w:line="380" w:lineRule="exact"/>
        <w:ind w:firstLine="709"/>
        <w:jc w:val="both"/>
        <w:rPr>
          <w:rFonts w:ascii="Times New Roman" w:hAnsi="Times New Roman"/>
          <w:b/>
          <w:i/>
          <w:sz w:val="28"/>
          <w:szCs w:val="28"/>
        </w:rPr>
      </w:pPr>
      <w:r w:rsidRPr="0009091E">
        <w:rPr>
          <w:rFonts w:ascii="Times New Roman" w:hAnsi="Times New Roman"/>
          <w:b/>
          <w:i/>
          <w:sz w:val="28"/>
          <w:szCs w:val="28"/>
        </w:rPr>
        <w:t>3. Lĩnh vực nông nghiệp</w:t>
      </w:r>
    </w:p>
    <w:p w:rsidR="0009091E" w:rsidRPr="0009091E" w:rsidRDefault="0009091E" w:rsidP="0009091E">
      <w:pPr>
        <w:spacing w:before="120" w:after="120" w:line="380" w:lineRule="exact"/>
        <w:ind w:firstLine="709"/>
        <w:jc w:val="both"/>
        <w:rPr>
          <w:rFonts w:ascii="Times New Roman" w:hAnsi="Times New Roman"/>
          <w:sz w:val="28"/>
          <w:szCs w:val="28"/>
        </w:rPr>
      </w:pPr>
      <w:r w:rsidRPr="0009091E">
        <w:rPr>
          <w:rFonts w:ascii="Times New Roman" w:hAnsi="Times New Roman"/>
          <w:sz w:val="28"/>
          <w:szCs w:val="28"/>
        </w:rPr>
        <w:t xml:space="preserve">- Trong chuyến thăm của Thủ tướng Chính phủ Việt Nam tới Ru-ma-ni tháng 4 năm 2019, Bộ Nông nghiệp và PTNT Việt Nam và Ru-ma-ni đã ký kết Bản Ghi nhớ hợp tác trong lĩnh vực nông nghiệp, hiện nay hai Bộ đang trao đổi và đề xuất hướng hợp tác trên cơ sở các nội dung được nêu trong Bản Ghi nhớ. </w:t>
      </w:r>
    </w:p>
    <w:p w:rsidR="0009091E" w:rsidRPr="0009091E" w:rsidRDefault="0009091E" w:rsidP="0009091E">
      <w:pPr>
        <w:spacing w:before="120" w:after="120" w:line="380" w:lineRule="exact"/>
        <w:ind w:firstLine="709"/>
        <w:jc w:val="both"/>
        <w:rPr>
          <w:rFonts w:ascii="Times New Roman" w:hAnsi="Times New Roman"/>
          <w:sz w:val="28"/>
          <w:szCs w:val="28"/>
        </w:rPr>
      </w:pPr>
      <w:r w:rsidRPr="0009091E">
        <w:rPr>
          <w:rFonts w:ascii="Times New Roman" w:hAnsi="Times New Roman"/>
          <w:sz w:val="28"/>
          <w:szCs w:val="28"/>
        </w:rPr>
        <w:t xml:space="preserve">- Thời gian vừa qua, Bộ Nông nghiệp và Phát triển nông thôn đã tham gia các Kỳ họp Ủy ban liên Chính phủ giữa hai nước, phía Ru-ma-ni rất quan tâm, tìm hiểu các quy định và thủ tục xuất khẩu các mặt hàng có nguồn gốc từ động vật, các sản phẩm thuốc thú y và vắc-xin trong chăn nuôi sang Việt Nam. Cục Thú y thuộc Bộ Nông nghiệp và Phát triển nông thôn đang nghiên cứu các đề xuất của phía Bạn để tiến tới trao đổi song phương. - Việt Nam đang xuất khẩu một số mặt hàng thủy hải sản, gạo, quế, hạt tiêu và cà phê sang Ru-ma-ni với số lượng không đáng kể (khoảng 15 triệu USD/năm). </w:t>
      </w:r>
    </w:p>
    <w:p w:rsidR="0009091E" w:rsidRPr="0009091E" w:rsidRDefault="0009091E" w:rsidP="0009091E">
      <w:pPr>
        <w:spacing w:before="120" w:after="120" w:line="380" w:lineRule="exact"/>
        <w:ind w:firstLine="709"/>
        <w:jc w:val="both"/>
        <w:rPr>
          <w:rFonts w:ascii="Times New Roman" w:hAnsi="Times New Roman"/>
          <w:sz w:val="28"/>
          <w:szCs w:val="28"/>
        </w:rPr>
      </w:pPr>
      <w:r w:rsidRPr="0009091E">
        <w:rPr>
          <w:rFonts w:ascii="Times New Roman" w:hAnsi="Times New Roman"/>
          <w:sz w:val="28"/>
          <w:szCs w:val="28"/>
        </w:rPr>
        <w:t xml:space="preserve">- Ruma-ni xuất khẩu các mặt hàng như phân bón, máy móc phúc vụ sản xuất và chế biến hàng nông, lâm và thủy sản. - Ru-ma-ni có thế mạnh về nông nghiệp, hiện đứng thứ 6 trong liên minh Châu Âu về phát triển nông nghiệp. </w:t>
      </w:r>
    </w:p>
    <w:p w:rsidR="0009091E" w:rsidRPr="00132BBB" w:rsidRDefault="0009091E" w:rsidP="0009091E">
      <w:pPr>
        <w:spacing w:before="120" w:after="120" w:line="380" w:lineRule="exact"/>
        <w:ind w:firstLine="709"/>
        <w:jc w:val="both"/>
        <w:rPr>
          <w:rFonts w:ascii="Times New Roman" w:hAnsi="Times New Roman"/>
          <w:sz w:val="28"/>
          <w:szCs w:val="28"/>
        </w:rPr>
      </w:pPr>
      <w:r w:rsidRPr="0009091E">
        <w:rPr>
          <w:rFonts w:ascii="Times New Roman" w:hAnsi="Times New Roman"/>
          <w:sz w:val="28"/>
          <w:szCs w:val="28"/>
        </w:rPr>
        <w:t>- Trong những thập niên 80-90, Ru-ma-ni đã tiếp nhận sinh viên Việt Nam sang đào tạo về nông nghiệp, nghiên cứu khoa học và chọn tạo giống cây trồng. Thời gian gần đây chương trình đào tạo dài hạn đã không còn tiếp tục.</w:t>
      </w:r>
    </w:p>
    <w:p w:rsidR="00132BBB" w:rsidRDefault="0009091E" w:rsidP="00132BBB">
      <w:pPr>
        <w:spacing w:before="120" w:after="120" w:line="380" w:lineRule="exact"/>
        <w:ind w:firstLine="709"/>
        <w:jc w:val="both"/>
        <w:rPr>
          <w:rFonts w:ascii="Times New Roman" w:hAnsi="Times New Roman"/>
          <w:b/>
          <w:i/>
          <w:sz w:val="28"/>
          <w:szCs w:val="28"/>
        </w:rPr>
      </w:pPr>
      <w:r>
        <w:rPr>
          <w:rFonts w:ascii="Times New Roman" w:hAnsi="Times New Roman"/>
          <w:b/>
          <w:i/>
          <w:sz w:val="28"/>
          <w:szCs w:val="28"/>
        </w:rPr>
        <w:lastRenderedPageBreak/>
        <w:t>4</w:t>
      </w:r>
      <w:r w:rsidR="00132BBB" w:rsidRPr="00132BBB">
        <w:rPr>
          <w:rFonts w:ascii="Times New Roman" w:hAnsi="Times New Roman"/>
          <w:b/>
          <w:i/>
          <w:sz w:val="28"/>
          <w:szCs w:val="28"/>
        </w:rPr>
        <w:t xml:space="preserve">. </w:t>
      </w:r>
      <w:r w:rsidR="00232738">
        <w:rPr>
          <w:rFonts w:ascii="Times New Roman" w:hAnsi="Times New Roman"/>
          <w:b/>
          <w:i/>
          <w:sz w:val="28"/>
          <w:szCs w:val="28"/>
        </w:rPr>
        <w:t>Lĩnh vực</w:t>
      </w:r>
      <w:r w:rsidR="00132BBB" w:rsidRPr="00132BBB">
        <w:rPr>
          <w:rFonts w:ascii="Times New Roman" w:hAnsi="Times New Roman"/>
          <w:b/>
          <w:i/>
          <w:sz w:val="28"/>
          <w:szCs w:val="28"/>
        </w:rPr>
        <w:t xml:space="preserve"> khoa học công nghệ</w:t>
      </w:r>
    </w:p>
    <w:p w:rsidR="0009091E" w:rsidRPr="0009091E" w:rsidRDefault="0009091E" w:rsidP="0009091E">
      <w:pPr>
        <w:spacing w:before="120" w:after="120" w:line="380" w:lineRule="exact"/>
        <w:ind w:firstLine="709"/>
        <w:jc w:val="both"/>
        <w:rPr>
          <w:rFonts w:ascii="Times New Roman" w:hAnsi="Times New Roman"/>
          <w:sz w:val="28"/>
          <w:szCs w:val="28"/>
        </w:rPr>
      </w:pPr>
      <w:r w:rsidRPr="0009091E">
        <w:rPr>
          <w:rFonts w:ascii="Times New Roman" w:hAnsi="Times New Roman"/>
          <w:sz w:val="28"/>
          <w:szCs w:val="28"/>
        </w:rPr>
        <w:t xml:space="preserve">Bước đầu hai Bên đã có những trao đổi thông tin về tình hình hợp tác KH&amp;CN giữa hai nước và đang cùng nhau xem xét tiếp tục kêu gọi các dự án hợp tác nghiên cứu chung. </w:t>
      </w:r>
    </w:p>
    <w:p w:rsidR="0009091E" w:rsidRDefault="0009091E" w:rsidP="0009091E">
      <w:pPr>
        <w:spacing w:before="120" w:after="120" w:line="380" w:lineRule="exact"/>
        <w:ind w:firstLine="709"/>
        <w:jc w:val="both"/>
        <w:rPr>
          <w:rFonts w:ascii="Times New Roman" w:hAnsi="Times New Roman"/>
          <w:sz w:val="28"/>
          <w:szCs w:val="28"/>
        </w:rPr>
      </w:pPr>
      <w:r w:rsidRPr="0009091E">
        <w:rPr>
          <w:rFonts w:ascii="Times New Roman" w:hAnsi="Times New Roman"/>
          <w:sz w:val="28"/>
          <w:szCs w:val="28"/>
        </w:rPr>
        <w:t>Tuy nhiên, phía Ru-ma-ni chưa thể triển khai được trong năm 2019 vì cần tập trung nguồn lực để đảm nhiệm vai trò Chủ tịch luân phiên EU của Ru-ma-ni. Sau khi kết thúc vai trò Chủ tịch luân phiên, phía Ru-ma-ni sẽ tiếp tục trao đổi để triển khai các nội dung hợp tác trong thời gian tới.</w:t>
      </w:r>
    </w:p>
    <w:p w:rsidR="00232738" w:rsidRPr="00232738" w:rsidRDefault="00232738" w:rsidP="0009091E">
      <w:pPr>
        <w:spacing w:before="120" w:after="120" w:line="380" w:lineRule="exact"/>
        <w:ind w:firstLine="709"/>
        <w:jc w:val="both"/>
        <w:rPr>
          <w:rFonts w:ascii="Times New Roman" w:hAnsi="Times New Roman"/>
          <w:b/>
          <w:i/>
          <w:sz w:val="28"/>
          <w:szCs w:val="28"/>
        </w:rPr>
      </w:pPr>
      <w:r w:rsidRPr="00232738">
        <w:rPr>
          <w:rFonts w:ascii="Times New Roman" w:hAnsi="Times New Roman"/>
          <w:b/>
          <w:i/>
          <w:sz w:val="28"/>
          <w:szCs w:val="28"/>
        </w:rPr>
        <w:t>5. Lĩnh vực lao động</w:t>
      </w:r>
    </w:p>
    <w:p w:rsidR="00232738" w:rsidRPr="00232738" w:rsidRDefault="00232738" w:rsidP="00232738">
      <w:pPr>
        <w:spacing w:before="120" w:after="120" w:line="380" w:lineRule="exact"/>
        <w:ind w:firstLine="709"/>
        <w:jc w:val="both"/>
        <w:rPr>
          <w:rFonts w:ascii="Times New Roman" w:hAnsi="Times New Roman"/>
          <w:sz w:val="28"/>
          <w:szCs w:val="28"/>
        </w:rPr>
      </w:pPr>
      <w:r w:rsidRPr="00232738">
        <w:rPr>
          <w:rFonts w:ascii="Times New Roman" w:hAnsi="Times New Roman"/>
          <w:sz w:val="28"/>
          <w:szCs w:val="28"/>
        </w:rPr>
        <w:t>Rumani đang thiếu hụt lao động do số người Rumani chuyển sang các nước phát triển hơn trong Liên minh Châu Âu (EU) để làm việc ngày càng nhiều. Trong vài năm gần đây, khoảng hơn 4 triệu lao động Rumani đã đi sang các nước EU làm việc. Qua tiếp xúc, các tập đoàn, doanh nghiệp của Rumani đều bày tỏ mong muốn được tiếp nhận lao động Việt Nam với số lượng lớn trong các ngành nghề: cơ khí chế tạo, xây dựng, thợ hàn, đóng tàu, du lịch, khách sạn, công nghệ cao…</w:t>
      </w:r>
    </w:p>
    <w:p w:rsidR="00232738" w:rsidRPr="00232738" w:rsidRDefault="00232738" w:rsidP="00232738">
      <w:pPr>
        <w:spacing w:before="120" w:after="120" w:line="380" w:lineRule="exact"/>
        <w:ind w:firstLine="709"/>
        <w:jc w:val="both"/>
        <w:rPr>
          <w:rFonts w:ascii="Times New Roman" w:hAnsi="Times New Roman"/>
          <w:sz w:val="28"/>
          <w:szCs w:val="28"/>
        </w:rPr>
      </w:pPr>
      <w:r w:rsidRPr="00232738">
        <w:rPr>
          <w:rFonts w:ascii="Times New Roman" w:hAnsi="Times New Roman"/>
          <w:sz w:val="28"/>
          <w:szCs w:val="28"/>
        </w:rPr>
        <w:t xml:space="preserve">Trước năm 2017, có một số ít doanh nghiệp hoạt động dịch vụ đưa lao động đi làm việc ở nước ngoài của Việt Nam ký kết được các hợp đồng cung ứng lao động sang Rumani, nhưng số lượng đưa đi rất hạn chế. Từ năm 2017 đến nay, Rumani nới lỏng việc cấp thị thực cho lao động Việt Nam. Do đó, số lao động Việt Nam đi làm việc tại Rumani tăng lên, cụ thể: năm 2017, số lượng lao động do doanh nghiệp dịch vụ đưa đi là 794 lao động; năm 2018 là 1.937 lao động; và theo thống kê chưa đầy đủ, 7 tháng đầu năm 2019 có khoảng 1.700 lượt lao động đi làm việc tại Rumani. Số doanh nghiệp dịch vụ Việt Nam tham gia cung ứng lao động đi làm việc tại Rumani cũng tăng lên, từ 04 doanh nghiệp vào năm 2017 tăng lên 20 doanh nghiệp hiện nay. </w:t>
      </w:r>
    </w:p>
    <w:p w:rsidR="00232738" w:rsidRPr="00232738" w:rsidRDefault="00232738" w:rsidP="00232738">
      <w:pPr>
        <w:spacing w:before="120" w:after="120" w:line="380" w:lineRule="exact"/>
        <w:ind w:firstLine="709"/>
        <w:jc w:val="both"/>
        <w:rPr>
          <w:rFonts w:ascii="Times New Roman" w:hAnsi="Times New Roman"/>
          <w:sz w:val="28"/>
          <w:szCs w:val="28"/>
        </w:rPr>
      </w:pPr>
      <w:r w:rsidRPr="00232738">
        <w:rPr>
          <w:rFonts w:ascii="Times New Roman" w:hAnsi="Times New Roman"/>
          <w:sz w:val="28"/>
          <w:szCs w:val="28"/>
        </w:rPr>
        <w:t xml:space="preserve">Lao động Việt Nam đi làm việc tại Rumani với các ngành nghề đa dạng, gồm thợ hàn, cơ khí, mộc, sắt thép, thợ may, thợ xây, chế biến thịt... Mức lương cơ bản của người lao động từ 500 đô la Mỹ/1 tháng đến 1.200 đô la Mỹ/1 tháng tùy theo từng ngành nghề với thời gian hợp đồng là 2 năm (có thể được gia hạn). Lao động đi làm việc tại Rumani có điều kiện làm việc tốt, được chủ sử dụng bố nơi trí ăn, ở đảm bảo và chi trả vé máy bay hai chiều cho người lao động. </w:t>
      </w:r>
    </w:p>
    <w:p w:rsidR="00232738" w:rsidRDefault="00232738" w:rsidP="00232738">
      <w:pPr>
        <w:spacing w:before="120" w:after="120" w:line="380" w:lineRule="exact"/>
        <w:ind w:firstLine="709"/>
        <w:jc w:val="both"/>
        <w:rPr>
          <w:rFonts w:ascii="Times New Roman" w:hAnsi="Times New Roman"/>
          <w:sz w:val="28"/>
          <w:szCs w:val="28"/>
        </w:rPr>
      </w:pPr>
      <w:r w:rsidRPr="00232738">
        <w:rPr>
          <w:rFonts w:ascii="Times New Roman" w:hAnsi="Times New Roman"/>
          <w:sz w:val="28"/>
          <w:szCs w:val="28"/>
        </w:rPr>
        <w:t xml:space="preserve">Được sự đồng ý của Thủ tướng Chính phủ, Bộ trưởng Bộ Lao động - Thương binh và Xã hội Đào Ngọc Dung và đoàn công tác Bộ Lao động - Thương binh và Xã hội đã đi thăm và làm việc tại Rumani từ ngày 28-30/11/2018 theo lời mời của Bộ trưởng Lao động và Công bằng xã hội Rumani. Nhân chuyến thăm </w:t>
      </w:r>
      <w:r w:rsidRPr="00232738">
        <w:rPr>
          <w:rFonts w:ascii="Times New Roman" w:hAnsi="Times New Roman"/>
          <w:sz w:val="28"/>
          <w:szCs w:val="28"/>
        </w:rPr>
        <w:lastRenderedPageBreak/>
        <w:t>này, Bộ trưởng hai bên đã ký Bản ghi nhớ về hợp tác trong lĩnh vực lao động và an sinh xã hội. Đây là Bản ghi nhớ xác định khuôn khổ hợp tác chung trong nhiều lĩnh vực. Riêng đối với lĩnh vực lao động, Rumani chưa có thỏa thuận hợp tác riêng với Việt Nam.</w:t>
      </w:r>
    </w:p>
    <w:p w:rsidR="00232738" w:rsidRPr="00232738" w:rsidRDefault="00232738" w:rsidP="00232738">
      <w:pPr>
        <w:spacing w:before="120" w:after="120" w:line="380" w:lineRule="exact"/>
        <w:ind w:firstLine="709"/>
        <w:jc w:val="both"/>
        <w:rPr>
          <w:rFonts w:ascii="Times New Roman" w:hAnsi="Times New Roman"/>
          <w:b/>
          <w:i/>
          <w:sz w:val="28"/>
          <w:szCs w:val="28"/>
        </w:rPr>
      </w:pPr>
      <w:r w:rsidRPr="00232738">
        <w:rPr>
          <w:rFonts w:ascii="Times New Roman" w:hAnsi="Times New Roman"/>
          <w:b/>
          <w:i/>
          <w:sz w:val="28"/>
          <w:szCs w:val="28"/>
        </w:rPr>
        <w:t>6. Lĩnh vực thông tin và truyền thông</w:t>
      </w:r>
    </w:p>
    <w:p w:rsidR="00232738" w:rsidRPr="00232738" w:rsidRDefault="00232738" w:rsidP="00232738">
      <w:pPr>
        <w:spacing w:before="120" w:after="120" w:line="380" w:lineRule="exact"/>
        <w:ind w:firstLine="709"/>
        <w:jc w:val="both"/>
        <w:rPr>
          <w:rFonts w:ascii="Times New Roman" w:hAnsi="Times New Roman"/>
          <w:sz w:val="28"/>
          <w:szCs w:val="28"/>
        </w:rPr>
      </w:pPr>
      <w:r w:rsidRPr="00232738">
        <w:rPr>
          <w:rFonts w:ascii="Times New Roman" w:hAnsi="Times New Roman"/>
          <w:sz w:val="28"/>
          <w:szCs w:val="28"/>
        </w:rPr>
        <w:t>- Ru-ma-ni và Việt Nam luôn phối hợp chặt chẽ và ủng hộ lẫn nhau trong việc ứng cử vào các vị trí quan trọng trong các tổ chức quốc tế chuyên ngành như Liên minh Viễn thông quốc tế (ITU), Linee minh Bưu chính thế giới (UPU).</w:t>
      </w:r>
    </w:p>
    <w:p w:rsidR="00232738" w:rsidRPr="00232738" w:rsidRDefault="00232738" w:rsidP="00232738">
      <w:pPr>
        <w:spacing w:before="120" w:after="120" w:line="380" w:lineRule="exact"/>
        <w:ind w:firstLine="709"/>
        <w:jc w:val="both"/>
        <w:rPr>
          <w:rFonts w:ascii="Times New Roman" w:hAnsi="Times New Roman"/>
          <w:sz w:val="28"/>
          <w:szCs w:val="28"/>
        </w:rPr>
      </w:pPr>
      <w:r w:rsidRPr="00232738">
        <w:rPr>
          <w:rFonts w:ascii="Times New Roman" w:hAnsi="Times New Roman"/>
          <w:sz w:val="28"/>
          <w:szCs w:val="28"/>
        </w:rPr>
        <w:t>- Đối với hợp tác kinh doanh và đầu tư về trong viễn thông và công nghệ thông tin giữa hai nước còn hạn chế do bối cảnh Ru-ma-ni phải tập trung cải cách kinh tế và chính trị để hội nhập vào EU</w:t>
      </w:r>
    </w:p>
    <w:p w:rsidR="00232738" w:rsidRPr="00232738" w:rsidRDefault="00232738" w:rsidP="00232738">
      <w:pPr>
        <w:spacing w:before="120" w:after="120" w:line="380" w:lineRule="exact"/>
        <w:ind w:firstLine="709"/>
        <w:jc w:val="both"/>
        <w:rPr>
          <w:rFonts w:ascii="Times New Roman" w:hAnsi="Times New Roman"/>
          <w:b/>
          <w:i/>
          <w:sz w:val="28"/>
          <w:szCs w:val="28"/>
        </w:rPr>
      </w:pPr>
      <w:r w:rsidRPr="00232738">
        <w:rPr>
          <w:rFonts w:ascii="Times New Roman" w:hAnsi="Times New Roman"/>
          <w:b/>
          <w:i/>
          <w:sz w:val="28"/>
          <w:szCs w:val="28"/>
        </w:rPr>
        <w:t>7. Văn hóa thể thao và du lịch</w:t>
      </w:r>
    </w:p>
    <w:p w:rsidR="00232738" w:rsidRPr="00232738" w:rsidRDefault="00232738" w:rsidP="00232738">
      <w:pPr>
        <w:spacing w:before="120" w:after="120" w:line="380" w:lineRule="exact"/>
        <w:ind w:firstLine="709"/>
        <w:jc w:val="both"/>
        <w:rPr>
          <w:rFonts w:ascii="Times New Roman" w:hAnsi="Times New Roman"/>
          <w:sz w:val="28"/>
          <w:szCs w:val="28"/>
        </w:rPr>
      </w:pPr>
      <w:r w:rsidRPr="00232738">
        <w:rPr>
          <w:rFonts w:ascii="Times New Roman" w:hAnsi="Times New Roman"/>
          <w:sz w:val="28"/>
          <w:szCs w:val="28"/>
        </w:rPr>
        <w:t>- Về văn hóa, hai bên đã ký kết Chương trình hợp tác về văn hóa giữa Bộ Văn hóa, Thể thao và Du lịch Việt Nam và Bộ Văn hóa Ru-ma-ni giai đoạn 2016 – 2019 và tích cực thực hiện các thỏa thuận với các hoạt động như sau:</w:t>
      </w:r>
    </w:p>
    <w:p w:rsidR="00232738" w:rsidRPr="00232738" w:rsidRDefault="00232738" w:rsidP="00232738">
      <w:pPr>
        <w:spacing w:before="120" w:after="120" w:line="380" w:lineRule="exact"/>
        <w:ind w:firstLine="709"/>
        <w:jc w:val="both"/>
        <w:rPr>
          <w:rFonts w:ascii="Times New Roman" w:hAnsi="Times New Roman"/>
          <w:sz w:val="28"/>
          <w:szCs w:val="28"/>
        </w:rPr>
      </w:pPr>
      <w:r w:rsidRPr="00232738">
        <w:rPr>
          <w:rFonts w:ascii="Times New Roman" w:hAnsi="Times New Roman"/>
          <w:sz w:val="28"/>
          <w:szCs w:val="28"/>
        </w:rPr>
        <w:t>+ Tháng 6 năm 2016, Đoàn nghệ sỹ Nhà hát tuổi trẻ tham gia Liên hoan Sân khâu quốc tế Sibiu lần thứ 23 tại Ru-ma-ni</w:t>
      </w:r>
    </w:p>
    <w:p w:rsidR="00232738" w:rsidRPr="00232738" w:rsidRDefault="00232738" w:rsidP="00232738">
      <w:pPr>
        <w:spacing w:before="120" w:after="120" w:line="380" w:lineRule="exact"/>
        <w:ind w:firstLine="709"/>
        <w:jc w:val="both"/>
        <w:rPr>
          <w:rFonts w:ascii="Times New Roman" w:hAnsi="Times New Roman"/>
          <w:sz w:val="28"/>
          <w:szCs w:val="28"/>
        </w:rPr>
      </w:pPr>
      <w:r w:rsidRPr="00232738">
        <w:rPr>
          <w:rFonts w:ascii="Times New Roman" w:hAnsi="Times New Roman"/>
          <w:sz w:val="28"/>
          <w:szCs w:val="28"/>
        </w:rPr>
        <w:t>+ Tháng 7 năm 2019 và tháng 8 năm 2019, Bộ Văn hóa, Thể thao và Du lịch đã cử các đoàn nghệ thuật tham gia biểu diễn tại Ru-ma-ni trong khuôn khổ Liên hoa Văn hóa dân gian thế giới.</w:t>
      </w:r>
    </w:p>
    <w:p w:rsidR="00232738" w:rsidRPr="00232738" w:rsidRDefault="00232738" w:rsidP="00232738">
      <w:pPr>
        <w:spacing w:before="120" w:after="120" w:line="380" w:lineRule="exact"/>
        <w:ind w:firstLine="709"/>
        <w:jc w:val="both"/>
        <w:rPr>
          <w:rFonts w:ascii="Times New Roman" w:hAnsi="Times New Roman"/>
          <w:sz w:val="28"/>
          <w:szCs w:val="28"/>
        </w:rPr>
      </w:pPr>
      <w:r w:rsidRPr="00232738">
        <w:rPr>
          <w:rFonts w:ascii="Times New Roman" w:hAnsi="Times New Roman"/>
          <w:sz w:val="28"/>
          <w:szCs w:val="28"/>
        </w:rPr>
        <w:t>+ Tháng 3 năm 2019, Bộ Văn hóa, Thể thao và Du lịch hỗ trợ Đại sứ quán Ru-ma-ni tại Việt Nam đón đoàn nghệ thuật Ru-ma-ni (35 người) biểu diễn tại Hà Nội và Thành phố Hồ Chí Minh.</w:t>
      </w:r>
    </w:p>
    <w:p w:rsidR="00232738" w:rsidRPr="00232738" w:rsidRDefault="00232738" w:rsidP="00232738">
      <w:pPr>
        <w:spacing w:before="120" w:after="120" w:line="380" w:lineRule="exact"/>
        <w:ind w:firstLine="709"/>
        <w:jc w:val="both"/>
        <w:rPr>
          <w:rFonts w:ascii="Times New Roman" w:hAnsi="Times New Roman"/>
          <w:sz w:val="28"/>
          <w:szCs w:val="28"/>
        </w:rPr>
      </w:pPr>
      <w:r w:rsidRPr="00232738">
        <w:rPr>
          <w:rFonts w:ascii="Times New Roman" w:hAnsi="Times New Roman"/>
          <w:sz w:val="28"/>
          <w:szCs w:val="28"/>
        </w:rPr>
        <w:t>+ Tháng 3 năm 2019, Bộ Văn hóa, Thể thao và Du lịch đã trao tặng Kỷ niệm chương vì sự nghiệp Văn hóa, Thể thao và Du lich cho Đại sứ Ru-ma-ni Valeriu Arteni tại Việt Nam nhằm ghi nhận những đóng góp cả Đại sứ trong việc tang cường tình hữu nghị và hợp tác giữa hai nước thông qua các hoạt động quảng bá văn hóa, truyền thông và giáo dục.</w:t>
      </w:r>
    </w:p>
    <w:p w:rsidR="00232738" w:rsidRPr="00232738" w:rsidRDefault="00232738" w:rsidP="00232738">
      <w:pPr>
        <w:spacing w:before="120" w:after="120" w:line="380" w:lineRule="exact"/>
        <w:ind w:firstLine="709"/>
        <w:jc w:val="both"/>
        <w:rPr>
          <w:rFonts w:ascii="Times New Roman" w:hAnsi="Times New Roman"/>
          <w:sz w:val="28"/>
          <w:szCs w:val="28"/>
        </w:rPr>
      </w:pPr>
      <w:r w:rsidRPr="00232738">
        <w:rPr>
          <w:rFonts w:ascii="Times New Roman" w:hAnsi="Times New Roman"/>
          <w:sz w:val="28"/>
          <w:szCs w:val="28"/>
        </w:rPr>
        <w:lastRenderedPageBreak/>
        <w:t>- Về lĩnh vực du lịch, do điều kiện kinh phí hạn chế, hai bên chưa triển khai các hoạt động hợp tác cụ thể, lượng khách đến mỗi nước chủ yếu là khách công vụ.</w:t>
      </w:r>
    </w:p>
    <w:p w:rsidR="00232738" w:rsidRPr="00CF5A11" w:rsidRDefault="00CF5A11" w:rsidP="00232738">
      <w:pPr>
        <w:spacing w:before="120" w:after="120" w:line="380" w:lineRule="exact"/>
        <w:ind w:firstLine="709"/>
        <w:jc w:val="both"/>
        <w:rPr>
          <w:rFonts w:ascii="Times New Roman" w:hAnsi="Times New Roman"/>
          <w:b/>
          <w:i/>
          <w:sz w:val="28"/>
          <w:szCs w:val="28"/>
        </w:rPr>
      </w:pPr>
      <w:r w:rsidRPr="00CF5A11">
        <w:rPr>
          <w:rFonts w:ascii="Times New Roman" w:hAnsi="Times New Roman"/>
          <w:b/>
          <w:i/>
          <w:sz w:val="28"/>
          <w:szCs w:val="28"/>
        </w:rPr>
        <w:t>8</w:t>
      </w:r>
      <w:r w:rsidR="00232738" w:rsidRPr="00CF5A11">
        <w:rPr>
          <w:rFonts w:ascii="Times New Roman" w:hAnsi="Times New Roman"/>
          <w:b/>
          <w:i/>
          <w:sz w:val="28"/>
          <w:szCs w:val="28"/>
        </w:rPr>
        <w:t>. Lĩnh vực ngân hàng</w:t>
      </w:r>
    </w:p>
    <w:p w:rsidR="00232738" w:rsidRPr="00232738" w:rsidRDefault="00232738" w:rsidP="00232738">
      <w:pPr>
        <w:spacing w:before="120" w:after="120" w:line="380" w:lineRule="exact"/>
        <w:ind w:firstLine="709"/>
        <w:jc w:val="both"/>
        <w:rPr>
          <w:rFonts w:ascii="Times New Roman" w:hAnsi="Times New Roman"/>
          <w:sz w:val="28"/>
          <w:szCs w:val="28"/>
        </w:rPr>
      </w:pPr>
      <w:r w:rsidRPr="00232738">
        <w:rPr>
          <w:rFonts w:ascii="Times New Roman" w:hAnsi="Times New Roman"/>
          <w:sz w:val="28"/>
          <w:szCs w:val="28"/>
        </w:rPr>
        <w:t>- Đến nay, Ngân hàng Nhà nước Việt nam và các cơ quan quản lý tiền tệ hoặc ngân hàng của Ru-ma-ni chưa ký kết văn bản hợp tác nào. Quan hệ hợp tác giữa Việt Nam và Ru-ma-ni trong lĩnh vực ngân hàng còn hạn chế, phù hợp với quy mô kim ngạch thương mại hai chiều trên 200 triệu USD. Theo số liệu báo cáo của các tổ chức tín dụng Việt Nam, tính đến hết 31/12/2018, các ngân hàng Việt Nam đã thiết lập 23 quan hệ đại lý với các ngân hàng tại Ru-ma-ni với tổng doanh số thanh toán song phượng đạt gần 22 triệu USD, doanh số chuyển tiền đạt 24,5 triệu USD.</w:t>
      </w:r>
    </w:p>
    <w:p w:rsidR="00232738" w:rsidRPr="00232738" w:rsidRDefault="00232738" w:rsidP="00232738">
      <w:pPr>
        <w:spacing w:before="120" w:after="120" w:line="380" w:lineRule="exact"/>
        <w:ind w:firstLine="709"/>
        <w:jc w:val="both"/>
        <w:rPr>
          <w:rFonts w:ascii="Times New Roman" w:hAnsi="Times New Roman"/>
          <w:sz w:val="28"/>
          <w:szCs w:val="28"/>
        </w:rPr>
      </w:pPr>
      <w:r w:rsidRPr="00232738">
        <w:rPr>
          <w:rFonts w:ascii="Times New Roman" w:hAnsi="Times New Roman"/>
          <w:sz w:val="28"/>
          <w:szCs w:val="28"/>
        </w:rPr>
        <w:t>- Mặc dù Biên bản kỳ họp thứ 15 UBHH Việt Nam – Ru-ma-ni có đề cập đến việc xem xét trao đổi khả năng ký kết Bản ghi nhớ hợp tác trong lĩnh vực ngân hàng giữa Việt Nam và Ru-ma-ni nhưng đến nay hai bên chưa triển khai các hoạt động kết nối cụ thể do chưa phát sinh nhu cầu cũng như chưa có đầu mối cụ thể.</w:t>
      </w:r>
    </w:p>
    <w:p w:rsidR="00232738" w:rsidRPr="00CF5A11" w:rsidRDefault="00CF5A11" w:rsidP="00232738">
      <w:pPr>
        <w:spacing w:before="120" w:after="120" w:line="380" w:lineRule="exact"/>
        <w:ind w:firstLine="709"/>
        <w:jc w:val="both"/>
        <w:rPr>
          <w:rFonts w:ascii="Times New Roman" w:hAnsi="Times New Roman"/>
          <w:b/>
          <w:i/>
          <w:sz w:val="28"/>
          <w:szCs w:val="28"/>
        </w:rPr>
      </w:pPr>
      <w:r w:rsidRPr="00CF5A11">
        <w:rPr>
          <w:rFonts w:ascii="Times New Roman" w:hAnsi="Times New Roman"/>
          <w:b/>
          <w:i/>
          <w:sz w:val="28"/>
          <w:szCs w:val="28"/>
        </w:rPr>
        <w:t>9</w:t>
      </w:r>
      <w:r w:rsidR="00232738" w:rsidRPr="00CF5A11">
        <w:rPr>
          <w:rFonts w:ascii="Times New Roman" w:hAnsi="Times New Roman"/>
          <w:b/>
          <w:i/>
          <w:sz w:val="28"/>
          <w:szCs w:val="28"/>
        </w:rPr>
        <w:t>. Lĩnh vực tài nguyên và môi trường</w:t>
      </w:r>
    </w:p>
    <w:p w:rsidR="00232738" w:rsidRPr="00232738" w:rsidRDefault="00232738" w:rsidP="00232738">
      <w:pPr>
        <w:spacing w:before="120" w:after="120" w:line="380" w:lineRule="exact"/>
        <w:ind w:firstLine="709"/>
        <w:jc w:val="both"/>
        <w:rPr>
          <w:rFonts w:ascii="Times New Roman" w:hAnsi="Times New Roman"/>
          <w:sz w:val="28"/>
          <w:szCs w:val="28"/>
        </w:rPr>
      </w:pPr>
      <w:r w:rsidRPr="00232738">
        <w:rPr>
          <w:rFonts w:ascii="Times New Roman" w:hAnsi="Times New Roman"/>
          <w:sz w:val="28"/>
          <w:szCs w:val="28"/>
        </w:rPr>
        <w:t>Trong khuôn khổ Diễn đàn Á – Âu (ASEM), đặc biệt là Đối thoại ASEM về phát triển bền vững và sang kiến hợp tác Mê Công – Đa-nuýp, Bộ Tài nguyên và Môi trường đã xây dựng ý tưởng, sau đó hỗ trợ tỉnh Bến Tre về chuyên môn để hoàn thiện và kêu gọi tài trợ từ Liên minh châu Âu (EU) cho đề xuất Dự án “Thành lập thí điểm khu bảo tồn đa dạng sinh học phục vụ phát triển bền vững du lịch sinh thai và Trung tâm tri thức về phát triển du lịch sinh tại tại Đồng bằng sông Cửu Long. Hiện Bộ Tài nguyên và Môi trường vẫn đang tiếp tục phối hợp với các bên liên quan để kêu gọi tài trợ cho Dự án.</w:t>
      </w:r>
    </w:p>
    <w:p w:rsidR="00232738" w:rsidRDefault="00232738" w:rsidP="00232738">
      <w:pPr>
        <w:spacing w:before="120" w:after="120" w:line="380" w:lineRule="exact"/>
        <w:ind w:firstLine="709"/>
        <w:jc w:val="both"/>
        <w:rPr>
          <w:rFonts w:ascii="Times New Roman" w:hAnsi="Times New Roman"/>
          <w:sz w:val="28"/>
          <w:szCs w:val="28"/>
        </w:rPr>
      </w:pPr>
      <w:r w:rsidRPr="00232738">
        <w:rPr>
          <w:rFonts w:ascii="Times New Roman" w:hAnsi="Times New Roman"/>
          <w:sz w:val="28"/>
          <w:szCs w:val="28"/>
        </w:rPr>
        <w:t>Trong các lĩnh vực khác, hợp tác giữa hai nước chỉ dừng lại ở mức độ khiêm tốn.</w:t>
      </w:r>
    </w:p>
    <w:p w:rsidR="00CF5A11" w:rsidRPr="00CF5A11" w:rsidRDefault="00CF5A11" w:rsidP="00CF5A11">
      <w:pPr>
        <w:spacing w:before="120" w:after="120" w:line="380" w:lineRule="exact"/>
        <w:jc w:val="both"/>
        <w:rPr>
          <w:rFonts w:ascii="Times New Roman" w:hAnsi="Times New Roman"/>
          <w:b/>
          <w:sz w:val="28"/>
          <w:szCs w:val="28"/>
        </w:rPr>
      </w:pPr>
      <w:r w:rsidRPr="00CF5A11">
        <w:rPr>
          <w:rFonts w:ascii="Times New Roman" w:hAnsi="Times New Roman"/>
          <w:b/>
          <w:sz w:val="28"/>
          <w:szCs w:val="28"/>
        </w:rPr>
        <w:tab/>
        <w:t xml:space="preserve">II. </w:t>
      </w:r>
      <w:r w:rsidR="001D1813">
        <w:rPr>
          <w:rFonts w:ascii="Times New Roman" w:hAnsi="Times New Roman"/>
          <w:b/>
          <w:sz w:val="28"/>
          <w:szCs w:val="28"/>
        </w:rPr>
        <w:t>Đề xuất nội dung hợp tác</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Hai bên thống nhất các hoạt động kỷ niệm 70 năm thiết lấp quan hệ ngoại giao giữa hai nước trong năm 2020.</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Tăng cường trao đổi các đoàn Lãnh đạo cấp cao hai nước thăm nhau trong năm 2020 và các năm tiếp theo.</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lastRenderedPageBreak/>
        <w:t>Hai bên tiếp tục đẩy mạnh hợp tác hiệu quả và thực chất trong khuôn khổ ASEM.</w:t>
      </w:r>
    </w:p>
    <w:p w:rsidR="00CF5A11" w:rsidRPr="00CF5A11" w:rsidRDefault="00CF5A11" w:rsidP="00CF5A11">
      <w:pPr>
        <w:spacing w:before="120" w:after="120" w:line="380" w:lineRule="exact"/>
        <w:ind w:firstLine="709"/>
        <w:jc w:val="both"/>
        <w:rPr>
          <w:rFonts w:ascii="Times New Roman" w:hAnsi="Times New Roman"/>
          <w:b/>
          <w:i/>
          <w:sz w:val="28"/>
          <w:szCs w:val="28"/>
        </w:rPr>
      </w:pPr>
      <w:r w:rsidRPr="00CF5A11">
        <w:rPr>
          <w:rFonts w:ascii="Times New Roman" w:hAnsi="Times New Roman"/>
          <w:b/>
          <w:i/>
          <w:sz w:val="28"/>
          <w:szCs w:val="28"/>
        </w:rPr>
        <w:t>1. Lĩnh vực thương mại</w:t>
      </w:r>
      <w:r>
        <w:rPr>
          <w:rFonts w:ascii="Times New Roman" w:hAnsi="Times New Roman"/>
          <w:b/>
          <w:i/>
          <w:sz w:val="28"/>
          <w:szCs w:val="28"/>
        </w:rPr>
        <w:t>, đầu tư</w:t>
      </w:r>
    </w:p>
    <w:p w:rsidR="00CF5A11" w:rsidRPr="00CF5A11" w:rsidRDefault="00CF5A11" w:rsidP="00CF5A11">
      <w:pPr>
        <w:spacing w:before="120" w:after="120" w:line="380" w:lineRule="exact"/>
        <w:ind w:firstLine="720"/>
        <w:jc w:val="both"/>
        <w:rPr>
          <w:rFonts w:ascii="Times New Roman" w:hAnsi="Times New Roman"/>
          <w:i/>
          <w:sz w:val="28"/>
          <w:szCs w:val="28"/>
        </w:rPr>
      </w:pPr>
      <w:r w:rsidRPr="00CF5A11">
        <w:rPr>
          <w:rFonts w:ascii="Times New Roman" w:hAnsi="Times New Roman"/>
          <w:i/>
          <w:sz w:val="28"/>
          <w:szCs w:val="28"/>
        </w:rPr>
        <w:t>Vấn đề hai bên quan tâm:</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Hai bên đánh giá cao tầm quan trọng của Hiệp định Thương mại tự do (EVFTA) và Hiệp định Bảo hộ đầu tư (EVIPA) giữa Việt Nam và Liên minh châu Âu trong việc thúc đẩy quan hệ kinh tế thương mại song phương giữa Việt Nam và Ru-ma-ni. Hai bên thống nhất đẩy nhanh việc vận động quốc hội của hai nước, Nghị viện châu Âu và quốc hội các nước thành viên của Liên minh châu Âu sớm thông qua hai Hiệp định trên để các Hiệp định sớm có hiệu lực.</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Hai bên thống nhất việc tăng các hoạt động xúc tiến thương mại nhằm hỗ trợ doanh nghiệp hai nước tìm hiểu thị trường, tăng cường gặp gỡ, trao đổi thông tin, tiến tới hợp tác kinh doanh.</w:t>
      </w:r>
    </w:p>
    <w:p w:rsidR="00CF5A11" w:rsidRPr="00CF5A11" w:rsidRDefault="00CF5A11" w:rsidP="00CF5A11">
      <w:pPr>
        <w:spacing w:before="120" w:after="120" w:line="380" w:lineRule="exact"/>
        <w:ind w:firstLine="720"/>
        <w:jc w:val="both"/>
        <w:rPr>
          <w:rFonts w:ascii="Times New Roman" w:hAnsi="Times New Roman"/>
          <w:i/>
          <w:sz w:val="28"/>
          <w:szCs w:val="28"/>
        </w:rPr>
      </w:pPr>
      <w:r w:rsidRPr="00CF5A11">
        <w:rPr>
          <w:rFonts w:ascii="Times New Roman" w:hAnsi="Times New Roman"/>
          <w:i/>
          <w:sz w:val="28"/>
          <w:szCs w:val="28"/>
        </w:rPr>
        <w:t>Vấn đề Việt Nam quan tâm:</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Tăng cường xuất khẩu các mặt hàng thế mạnh của Việt Nam sang thị trường Ru-ma-ni như: dệt may, giầy dép, nông sản, thủy sản, thiết bị điện tử v.v...</w:t>
      </w:r>
    </w:p>
    <w:p w:rsidR="00CF5A11" w:rsidRPr="00CF5A11" w:rsidRDefault="00CF5A11" w:rsidP="00CF5A11">
      <w:pPr>
        <w:spacing w:before="120" w:after="120" w:line="380" w:lineRule="exact"/>
        <w:jc w:val="both"/>
        <w:rPr>
          <w:rFonts w:ascii="Times New Roman" w:hAnsi="Times New Roman"/>
          <w:sz w:val="28"/>
          <w:szCs w:val="28"/>
        </w:rPr>
      </w:pPr>
      <w:r w:rsidRPr="00CF5A11">
        <w:rPr>
          <w:rFonts w:ascii="Times New Roman" w:hAnsi="Times New Roman"/>
          <w:sz w:val="28"/>
          <w:szCs w:val="28"/>
        </w:rPr>
        <w:tab/>
        <w:t>- Khuyến khích các công ty Ru-ma-ni đầu tư vào Việt Nam trong các lĩnh vực mà bạn có thế mạnh như: khai thác dầu khí, đóng tàu, truyền tải điện và công nghiệp cơ khí chế tạo.</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Tăng cường trao đổi thông tin, kinh nghiệm giữa các nhà hoạch định chính sách kinh tế của hai nước, đặc biệt trong quá trình chuyển đổi kinh tế, cải cách hành chính và tài chính công, tái cấu trúc doanh nghiệp, thu hút đầu tư, trao đổi chuyên gia và đào tạo (ngắn hạn và dài hạn) cho các cán bộ, chuyên gia của Việt Nam.</w:t>
      </w:r>
    </w:p>
    <w:p w:rsidR="00CF5A11" w:rsidRPr="00CF5A11" w:rsidRDefault="00CF5A11" w:rsidP="00CF5A11">
      <w:pPr>
        <w:spacing w:before="120" w:after="120" w:line="380" w:lineRule="exact"/>
        <w:ind w:firstLine="720"/>
        <w:jc w:val="both"/>
        <w:rPr>
          <w:rFonts w:ascii="Times New Roman" w:hAnsi="Times New Roman"/>
          <w:i/>
          <w:sz w:val="28"/>
          <w:szCs w:val="28"/>
        </w:rPr>
      </w:pPr>
      <w:r w:rsidRPr="00CF5A11">
        <w:rPr>
          <w:rFonts w:ascii="Times New Roman" w:hAnsi="Times New Roman"/>
          <w:i/>
          <w:sz w:val="28"/>
          <w:szCs w:val="28"/>
        </w:rPr>
        <w:t>Vấn đề Ru-ma-ni quan tâm:</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Đẩy mạnh xuất khẩu các mặt hàng Ru-ma-ni có thế mạnh vào Việt Nam như: các mặt hàng chế biến từ thịt, mật long, lúa mỳ, ngô, rượu vang, v.v...</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Tăng cường hợp tác trong lĩnh vực dầu khí, hóa dầu, cung cấp thiết bị cho các dự án khai thác, lọc hóa dầu, tiếp tục đào tạo cán bộ, nhân viên và sinh viên Việt Nam trong lĩnh vực trên.</w:t>
      </w:r>
    </w:p>
    <w:p w:rsidR="00357472" w:rsidRPr="00357472" w:rsidRDefault="00357472" w:rsidP="00CF5A11">
      <w:pPr>
        <w:spacing w:before="120" w:after="120" w:line="380" w:lineRule="exact"/>
        <w:ind w:firstLine="720"/>
        <w:jc w:val="both"/>
        <w:rPr>
          <w:rFonts w:ascii="Times New Roman" w:hAnsi="Times New Roman"/>
          <w:b/>
          <w:sz w:val="28"/>
          <w:szCs w:val="28"/>
        </w:rPr>
      </w:pPr>
      <w:r w:rsidRPr="00357472">
        <w:rPr>
          <w:rFonts w:ascii="Times New Roman" w:hAnsi="Times New Roman"/>
          <w:b/>
          <w:sz w:val="28"/>
          <w:szCs w:val="28"/>
        </w:rPr>
        <w:t>2. Lĩnh vực năng lượng, công nghiệp</w:t>
      </w:r>
    </w:p>
    <w:p w:rsidR="00357472" w:rsidRPr="00CF5A11" w:rsidRDefault="00357472" w:rsidP="00357472">
      <w:pPr>
        <w:spacing w:before="120" w:after="120" w:line="380" w:lineRule="exact"/>
        <w:ind w:firstLine="720"/>
        <w:jc w:val="both"/>
        <w:rPr>
          <w:rFonts w:ascii="Times New Roman" w:hAnsi="Times New Roman"/>
          <w:i/>
          <w:sz w:val="28"/>
          <w:szCs w:val="28"/>
        </w:rPr>
      </w:pPr>
      <w:r w:rsidRPr="00CF5A11">
        <w:rPr>
          <w:rFonts w:ascii="Times New Roman" w:hAnsi="Times New Roman"/>
          <w:i/>
          <w:sz w:val="28"/>
          <w:szCs w:val="28"/>
        </w:rPr>
        <w:t>Vấn đề hai bên quan tâm:</w:t>
      </w:r>
    </w:p>
    <w:p w:rsidR="00357472" w:rsidRDefault="00357472" w:rsidP="00CF5A11">
      <w:pPr>
        <w:spacing w:before="120" w:after="120" w:line="380" w:lineRule="exact"/>
        <w:ind w:firstLine="720"/>
        <w:jc w:val="both"/>
        <w:rPr>
          <w:rFonts w:ascii="Times New Roman" w:hAnsi="Times New Roman"/>
          <w:sz w:val="28"/>
          <w:szCs w:val="28"/>
        </w:rPr>
      </w:pPr>
      <w:r>
        <w:rPr>
          <w:rFonts w:ascii="Times New Roman" w:hAnsi="Times New Roman"/>
          <w:sz w:val="28"/>
          <w:szCs w:val="28"/>
        </w:rPr>
        <w:lastRenderedPageBreak/>
        <w:t>- Thúc đẩy hơn nữa việc hợp tác trong lĩnh vực năng lượng, công nghiệp</w:t>
      </w:r>
    </w:p>
    <w:p w:rsidR="00357472" w:rsidRDefault="00357472" w:rsidP="00CF5A11">
      <w:pPr>
        <w:spacing w:before="120" w:after="120" w:line="380" w:lineRule="exact"/>
        <w:ind w:firstLine="720"/>
        <w:jc w:val="both"/>
        <w:rPr>
          <w:rFonts w:ascii="Times New Roman" w:hAnsi="Times New Roman"/>
          <w:sz w:val="28"/>
          <w:szCs w:val="28"/>
        </w:rPr>
      </w:pPr>
      <w:r>
        <w:rPr>
          <w:rFonts w:ascii="Times New Roman" w:hAnsi="Times New Roman"/>
          <w:sz w:val="28"/>
          <w:szCs w:val="28"/>
        </w:rPr>
        <w:t>- Tăng cường hợp tác đào tạo nguồn nhân lực trong lĩnh năng lượng, công nghiệp</w:t>
      </w:r>
    </w:p>
    <w:p w:rsidR="00357472" w:rsidRPr="00CF5A11" w:rsidRDefault="00357472" w:rsidP="00357472">
      <w:pPr>
        <w:spacing w:before="120" w:after="120" w:line="380" w:lineRule="exact"/>
        <w:ind w:firstLine="720"/>
        <w:jc w:val="both"/>
        <w:rPr>
          <w:rFonts w:ascii="Times New Roman" w:hAnsi="Times New Roman"/>
          <w:i/>
          <w:sz w:val="28"/>
          <w:szCs w:val="28"/>
        </w:rPr>
      </w:pPr>
      <w:r w:rsidRPr="00CF5A11">
        <w:rPr>
          <w:rFonts w:ascii="Times New Roman" w:hAnsi="Times New Roman"/>
          <w:i/>
          <w:sz w:val="28"/>
          <w:szCs w:val="28"/>
        </w:rPr>
        <w:t>Vấn đề Việt Nam quan tâm:</w:t>
      </w:r>
    </w:p>
    <w:p w:rsidR="00357472" w:rsidRDefault="00357472" w:rsidP="00CF5A11">
      <w:pPr>
        <w:spacing w:before="120" w:after="120" w:line="380" w:lineRule="exact"/>
        <w:ind w:firstLine="720"/>
        <w:jc w:val="both"/>
        <w:rPr>
          <w:rFonts w:ascii="Times New Roman" w:hAnsi="Times New Roman"/>
          <w:sz w:val="28"/>
          <w:szCs w:val="28"/>
        </w:rPr>
      </w:pPr>
      <w:r>
        <w:rPr>
          <w:rFonts w:ascii="Times New Roman" w:hAnsi="Times New Roman"/>
          <w:sz w:val="28"/>
          <w:szCs w:val="28"/>
        </w:rPr>
        <w:t>- Chuyển giao công nghệ liên quan đến năng lượng, công nghiệp mà phía Rumani có thế mạnh</w:t>
      </w:r>
    </w:p>
    <w:p w:rsidR="00357472" w:rsidRPr="00CF5A11" w:rsidRDefault="00357472" w:rsidP="00357472">
      <w:pPr>
        <w:spacing w:before="120" w:after="120" w:line="380" w:lineRule="exact"/>
        <w:ind w:firstLine="720"/>
        <w:jc w:val="both"/>
        <w:rPr>
          <w:rFonts w:ascii="Times New Roman" w:hAnsi="Times New Roman"/>
          <w:i/>
          <w:sz w:val="28"/>
          <w:szCs w:val="28"/>
        </w:rPr>
      </w:pPr>
      <w:r w:rsidRPr="00CF5A11">
        <w:rPr>
          <w:rFonts w:ascii="Times New Roman" w:hAnsi="Times New Roman"/>
          <w:i/>
          <w:sz w:val="28"/>
          <w:szCs w:val="28"/>
        </w:rPr>
        <w:t>Vấn đề Ru-ma-ni quan tâm:</w:t>
      </w:r>
    </w:p>
    <w:p w:rsidR="00357472" w:rsidRDefault="00357472" w:rsidP="00CF5A11">
      <w:pPr>
        <w:spacing w:before="120" w:after="120" w:line="380" w:lineRule="exact"/>
        <w:ind w:firstLine="720"/>
        <w:jc w:val="both"/>
        <w:rPr>
          <w:rFonts w:ascii="Times New Roman" w:hAnsi="Times New Roman"/>
          <w:sz w:val="28"/>
          <w:szCs w:val="28"/>
        </w:rPr>
      </w:pPr>
      <w:r>
        <w:rPr>
          <w:rFonts w:ascii="Times New Roman" w:hAnsi="Times New Roman"/>
          <w:sz w:val="28"/>
          <w:szCs w:val="28"/>
        </w:rPr>
        <w:t>- Tham gia làm nhà cung cấp các thiết bị cho các dự án lọc hóa dầu của Việt Nam</w:t>
      </w:r>
    </w:p>
    <w:p w:rsidR="00CF5A11" w:rsidRPr="00357472" w:rsidRDefault="00357472" w:rsidP="00CF5A11">
      <w:pPr>
        <w:spacing w:before="120" w:after="120" w:line="380" w:lineRule="exact"/>
        <w:ind w:firstLine="720"/>
        <w:jc w:val="both"/>
        <w:rPr>
          <w:rFonts w:ascii="Times New Roman" w:hAnsi="Times New Roman"/>
          <w:b/>
          <w:i/>
          <w:sz w:val="28"/>
          <w:szCs w:val="28"/>
        </w:rPr>
      </w:pPr>
      <w:r w:rsidRPr="00357472">
        <w:rPr>
          <w:rFonts w:ascii="Times New Roman" w:hAnsi="Times New Roman"/>
          <w:b/>
          <w:i/>
          <w:sz w:val="28"/>
          <w:szCs w:val="28"/>
        </w:rPr>
        <w:t>3</w:t>
      </w:r>
      <w:r w:rsidR="00CF5A11" w:rsidRPr="00357472">
        <w:rPr>
          <w:rFonts w:ascii="Times New Roman" w:hAnsi="Times New Roman"/>
          <w:b/>
          <w:i/>
          <w:sz w:val="28"/>
          <w:szCs w:val="28"/>
        </w:rPr>
        <w:t>. Lĩnh vực nông nghiệp</w:t>
      </w:r>
    </w:p>
    <w:p w:rsidR="00CF5A11" w:rsidRPr="00357472" w:rsidRDefault="00CF5A11" w:rsidP="00CF5A11">
      <w:pPr>
        <w:spacing w:before="120" w:after="120" w:line="380" w:lineRule="exact"/>
        <w:ind w:firstLine="720"/>
        <w:jc w:val="both"/>
        <w:rPr>
          <w:rFonts w:ascii="Times New Roman" w:hAnsi="Times New Roman"/>
          <w:i/>
          <w:sz w:val="28"/>
          <w:szCs w:val="28"/>
        </w:rPr>
      </w:pPr>
      <w:r w:rsidRPr="00357472">
        <w:rPr>
          <w:rFonts w:ascii="Times New Roman" w:hAnsi="Times New Roman"/>
          <w:i/>
          <w:sz w:val="28"/>
          <w:szCs w:val="28"/>
        </w:rPr>
        <w:t>Vấn đề hai bên quan tâm:</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Hai bên thống nhất thành lập nhóm công tác để triển khai Biên bản ghi nhớ (MOU) về hợp tác trong lĩnh vực nông nghiệp được ký vào tháng 4/2019 giữa Bộ Nông nghiệp của hai nước.</w:t>
      </w:r>
    </w:p>
    <w:p w:rsidR="00CF5A11" w:rsidRPr="00357472" w:rsidRDefault="00CF5A11" w:rsidP="00CF5A11">
      <w:pPr>
        <w:spacing w:before="120" w:after="120" w:line="380" w:lineRule="exact"/>
        <w:ind w:firstLine="720"/>
        <w:jc w:val="both"/>
        <w:rPr>
          <w:rFonts w:ascii="Times New Roman" w:hAnsi="Times New Roman"/>
          <w:i/>
          <w:sz w:val="28"/>
          <w:szCs w:val="28"/>
        </w:rPr>
      </w:pPr>
      <w:r w:rsidRPr="00357472">
        <w:rPr>
          <w:rFonts w:ascii="Times New Roman" w:hAnsi="Times New Roman"/>
          <w:i/>
          <w:sz w:val="28"/>
          <w:szCs w:val="28"/>
        </w:rPr>
        <w:t>Vấn đề Việt Nam quan tâm:</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Đề nghị phía Ru-ma-ni tăng cường hợp tác đào tạo, trao đổi cán bộ khoa học, trao đổi kinh nghiệm trong các lĩnh vực lâm nghiệp, nông nghiệp và thuỷ sản giữa hai nước để tăng cường hợp tác về nghiên cứu khoa học tập trung vào việc chuyển giao công nghệ sinh học, sản xuất thức ăn chăn nuôi cho gia súc.</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Đề nghị hai bên xem xét khả năng cử các Viện, trường đào tạo nghề trong lĩnh vực nông nghiệp sang khảo sát và hợp tác để cử lưu học sinh hoặc kỹ thuật viên, lao động nông nghiệp sang Ruma-ni</w:t>
      </w:r>
    </w:p>
    <w:p w:rsidR="00CF5A11" w:rsidRPr="00357472" w:rsidRDefault="00CF5A11" w:rsidP="00CF5A11">
      <w:pPr>
        <w:spacing w:before="120" w:after="120" w:line="380" w:lineRule="exact"/>
        <w:ind w:firstLine="720"/>
        <w:jc w:val="both"/>
        <w:rPr>
          <w:rFonts w:ascii="Times New Roman" w:hAnsi="Times New Roman"/>
          <w:i/>
          <w:sz w:val="28"/>
          <w:szCs w:val="28"/>
        </w:rPr>
      </w:pPr>
      <w:r w:rsidRPr="00357472">
        <w:rPr>
          <w:rFonts w:ascii="Times New Roman" w:hAnsi="Times New Roman"/>
          <w:i/>
          <w:sz w:val="28"/>
          <w:szCs w:val="28"/>
        </w:rPr>
        <w:t>Vấn đề Ru-ma-ni quan tâm:</w:t>
      </w:r>
    </w:p>
    <w:p w:rsid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Phía Ru-ma-ni rất quan tâm, tìm hiểu các quy định và thủ tục xuất khẩu các mặt hàng có nguồn gốc từ động vật, các sản phẩm thuốc thú y và vắc-xin trong chăn nuôi sang Việt Nam.</w:t>
      </w:r>
    </w:p>
    <w:p w:rsidR="00357472" w:rsidRPr="00357472" w:rsidRDefault="00357472" w:rsidP="00357472">
      <w:pPr>
        <w:spacing w:before="120" w:after="120" w:line="380" w:lineRule="exact"/>
        <w:ind w:firstLine="720"/>
        <w:jc w:val="both"/>
        <w:rPr>
          <w:rFonts w:ascii="Times New Roman" w:hAnsi="Times New Roman"/>
          <w:b/>
          <w:sz w:val="28"/>
          <w:szCs w:val="28"/>
        </w:rPr>
      </w:pPr>
      <w:r w:rsidRPr="00357472">
        <w:rPr>
          <w:rFonts w:ascii="Times New Roman" w:hAnsi="Times New Roman"/>
          <w:b/>
          <w:sz w:val="28"/>
          <w:szCs w:val="28"/>
        </w:rPr>
        <w:t>4. Lĩnh vực Khoa học công nghệ</w:t>
      </w:r>
    </w:p>
    <w:p w:rsidR="00357472" w:rsidRPr="00CF5A11" w:rsidRDefault="00357472" w:rsidP="00357472">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Hai bên xem xét thúc đẩy việc thành lập Ủy ban hỗn hợp về hợp tác khoa học và công nghệ giữa hai nước và tăng cường trao đổi thông tin, trao đổi chuyên gia và tổ chức hội thảo khoa học mà hai bên cùng quan tâm.</w:t>
      </w:r>
    </w:p>
    <w:p w:rsidR="00357472" w:rsidRPr="00CF5A11" w:rsidRDefault="00357472" w:rsidP="00357472">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Hai bên trao đổi, thống nhất chương trình kêu gọi đề xuất dự án hợp tác nghiên cứu chung giữa Việt Nam và Ru-ma-ni.</w:t>
      </w:r>
    </w:p>
    <w:p w:rsidR="00357472" w:rsidRPr="00CF5A11" w:rsidRDefault="00357472" w:rsidP="00CF5A11">
      <w:pPr>
        <w:spacing w:before="120" w:after="120" w:line="380" w:lineRule="exact"/>
        <w:ind w:firstLine="720"/>
        <w:jc w:val="both"/>
        <w:rPr>
          <w:rFonts w:ascii="Times New Roman" w:hAnsi="Times New Roman"/>
          <w:sz w:val="28"/>
          <w:szCs w:val="28"/>
        </w:rPr>
      </w:pPr>
    </w:p>
    <w:p w:rsidR="00CF5A11" w:rsidRPr="00357472" w:rsidRDefault="00357472" w:rsidP="00CF5A11">
      <w:pPr>
        <w:spacing w:before="120" w:after="120" w:line="380" w:lineRule="exact"/>
        <w:ind w:firstLine="720"/>
        <w:jc w:val="both"/>
        <w:rPr>
          <w:rFonts w:ascii="Times New Roman" w:hAnsi="Times New Roman"/>
          <w:b/>
          <w:sz w:val="28"/>
          <w:szCs w:val="28"/>
        </w:rPr>
      </w:pPr>
      <w:r>
        <w:rPr>
          <w:rFonts w:ascii="Times New Roman" w:hAnsi="Times New Roman"/>
          <w:b/>
          <w:sz w:val="28"/>
          <w:szCs w:val="28"/>
        </w:rPr>
        <w:t>5</w:t>
      </w:r>
      <w:r w:rsidR="00CF5A11" w:rsidRPr="00357472">
        <w:rPr>
          <w:rFonts w:ascii="Times New Roman" w:hAnsi="Times New Roman"/>
          <w:b/>
          <w:sz w:val="28"/>
          <w:szCs w:val="28"/>
        </w:rPr>
        <w:t>. Lĩnh vực lao động</w:t>
      </w:r>
    </w:p>
    <w:p w:rsidR="00CF5A11" w:rsidRPr="00357472" w:rsidRDefault="00CF5A11" w:rsidP="00CF5A11">
      <w:pPr>
        <w:spacing w:before="120" w:after="120" w:line="380" w:lineRule="exact"/>
        <w:ind w:firstLine="720"/>
        <w:jc w:val="both"/>
        <w:rPr>
          <w:rFonts w:ascii="Times New Roman" w:hAnsi="Times New Roman"/>
          <w:i/>
          <w:sz w:val="28"/>
          <w:szCs w:val="28"/>
        </w:rPr>
      </w:pPr>
      <w:r w:rsidRPr="00357472">
        <w:rPr>
          <w:rFonts w:ascii="Times New Roman" w:hAnsi="Times New Roman"/>
          <w:i/>
          <w:sz w:val="28"/>
          <w:szCs w:val="28"/>
        </w:rPr>
        <w:t>Vấn đề hai bên quan tâm:</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Hai bên tiếp tục triển khai nội dung của Biên bản ghi nhớ (MOU) về hợp tác trong lĩnh vực lao động an sinh xã hội. được ký giữa Bộ Lao động của hai nước.</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Hai bên tiếp tục thúc đẩy hợp tác lao động đặc biệt là xúc tiến việc đàm phán, ký kết Thỏa thuận về hợp tác gửi và tiếp nhận lao động Việt Nam sang làm việc tại Rumani.</w:t>
      </w:r>
    </w:p>
    <w:p w:rsidR="00CF5A11" w:rsidRPr="00357472" w:rsidRDefault="00CF5A11" w:rsidP="00CF5A11">
      <w:pPr>
        <w:spacing w:before="120" w:after="120" w:line="380" w:lineRule="exact"/>
        <w:ind w:firstLine="720"/>
        <w:jc w:val="both"/>
        <w:rPr>
          <w:rFonts w:ascii="Times New Roman" w:hAnsi="Times New Roman"/>
          <w:i/>
          <w:sz w:val="28"/>
          <w:szCs w:val="28"/>
        </w:rPr>
      </w:pPr>
      <w:r w:rsidRPr="00357472">
        <w:rPr>
          <w:rFonts w:ascii="Times New Roman" w:hAnsi="Times New Roman"/>
          <w:i/>
          <w:sz w:val="28"/>
          <w:szCs w:val="28"/>
        </w:rPr>
        <w:t>Vấn đề Việt Nam quan tâm:</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Đẩy mạnh hoạt động cung ứng lao động sang Rumani một cách đồng bộ.</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Tăng cường hợp tác giữa hai bên trong lĩnh vực giáo dục nghề nghiệp, đặc biệt ở những ngành nghề kỹ thuật, nông nghiệp và hóa dầu mà phía Rumani có thế mạnh; dành một số học bổng của Rumani cho lĩnh vực giáo dục nghề nghiệp.</w:t>
      </w:r>
    </w:p>
    <w:p w:rsidR="00CF5A11" w:rsidRPr="00357472" w:rsidRDefault="00CF5A11" w:rsidP="00CF5A11">
      <w:pPr>
        <w:spacing w:before="120" w:after="120" w:line="380" w:lineRule="exact"/>
        <w:ind w:firstLine="720"/>
        <w:jc w:val="both"/>
        <w:rPr>
          <w:rFonts w:ascii="Times New Roman" w:hAnsi="Times New Roman"/>
          <w:i/>
          <w:sz w:val="28"/>
          <w:szCs w:val="28"/>
        </w:rPr>
      </w:pPr>
      <w:r w:rsidRPr="00357472">
        <w:rPr>
          <w:rFonts w:ascii="Times New Roman" w:hAnsi="Times New Roman"/>
          <w:i/>
          <w:sz w:val="28"/>
          <w:szCs w:val="28"/>
        </w:rPr>
        <w:t>Vấn đề Ru-ma-ni quan tâm:</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Ru-ma-ni bày tỏ nhu cầu cao đối với lao động Việt Nam nhằm bù đắp việc thiếu hụt lao động tại thị trường Ru-ma-ni.</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Ru-ma-ni mong muốn hợp tác để tạo môi trường tốt nhất cho lao động Việt Nam tới làm việc tại Ru-ma-ni.</w:t>
      </w:r>
    </w:p>
    <w:p w:rsidR="00CF5A11" w:rsidRPr="001D1813" w:rsidRDefault="00CF5A11" w:rsidP="00CF5A11">
      <w:pPr>
        <w:spacing w:before="120" w:after="120" w:line="380" w:lineRule="exact"/>
        <w:ind w:firstLine="720"/>
        <w:jc w:val="both"/>
        <w:rPr>
          <w:rFonts w:ascii="Times New Roman" w:hAnsi="Times New Roman"/>
          <w:b/>
          <w:i/>
          <w:sz w:val="28"/>
          <w:szCs w:val="28"/>
        </w:rPr>
      </w:pPr>
      <w:r w:rsidRPr="001D1813">
        <w:rPr>
          <w:rFonts w:ascii="Times New Roman" w:hAnsi="Times New Roman"/>
          <w:b/>
          <w:i/>
          <w:sz w:val="28"/>
          <w:szCs w:val="28"/>
        </w:rPr>
        <w:t>6. Lĩnh vực Thông tin và Truyền thông</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Hai bên tăng cường trao đổi thông tin về pháp luật, chính sách quản lý của mỗi nước nhằm phát triển các chính sách mới phù hợp với xu thế phát triển của cuộc cách mạng công nghiệp 4.0 như Trí tuệ nhân tạo (AI), Internet vạn vật (IoT), Cơ sở dữ liệu lớn (Big Data), công nghệ 5G.</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Đẩy mạnh hợp tác đào tạo nguồn nhân lực thông tin truyền thông, đặc biệt trong các lĩnh vực ứng dụng công nghệ thông tin, chính phủ điện tử và an toàn thông tin.</w:t>
      </w:r>
    </w:p>
    <w:p w:rsidR="00CF5A11" w:rsidRPr="001D1813" w:rsidRDefault="00CF5A11" w:rsidP="00CF5A11">
      <w:pPr>
        <w:spacing w:before="120" w:after="120" w:line="380" w:lineRule="exact"/>
        <w:ind w:firstLine="720"/>
        <w:jc w:val="both"/>
        <w:rPr>
          <w:rFonts w:ascii="Times New Roman" w:hAnsi="Times New Roman"/>
          <w:b/>
          <w:i/>
          <w:sz w:val="28"/>
          <w:szCs w:val="28"/>
        </w:rPr>
      </w:pPr>
      <w:r w:rsidRPr="001D1813">
        <w:rPr>
          <w:rFonts w:ascii="Times New Roman" w:hAnsi="Times New Roman"/>
          <w:b/>
          <w:i/>
          <w:sz w:val="28"/>
          <w:szCs w:val="28"/>
        </w:rPr>
        <w:t>7. Lĩnh vực Văn hóa Thể thao và Du lịch</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Hai bên phối hợp tổ chức các hoạt động kỷ niệm 70 năm thiết lập quan hệ ngoại giao giữa hai nước vào năm 2020</w:t>
      </w:r>
    </w:p>
    <w:p w:rsidR="00CF5A11" w:rsidRPr="00CF5A11"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lastRenderedPageBreak/>
        <w:t>- Tăng cường trao đổi các đoàn nghệ thuật giao lưu, biểu diễn ở mỗi nước; tạo điều kiện thuận lợi để hai bên tham gia các hoạt động văn hóa nghệ thuật được tổ chức trong khuôn khổ song phương và đa phương; tổ chức tuần lễ phim, triển lãm giới thiệu đất nước, con người.</w:t>
      </w:r>
    </w:p>
    <w:p w:rsidR="00CF5A11" w:rsidRPr="0009091E" w:rsidRDefault="00CF5A11" w:rsidP="00CF5A11">
      <w:pPr>
        <w:spacing w:before="120" w:after="120" w:line="380" w:lineRule="exact"/>
        <w:ind w:firstLine="720"/>
        <w:jc w:val="both"/>
        <w:rPr>
          <w:rFonts w:ascii="Times New Roman" w:hAnsi="Times New Roman"/>
          <w:sz w:val="28"/>
          <w:szCs w:val="28"/>
        </w:rPr>
      </w:pPr>
      <w:r w:rsidRPr="00CF5A11">
        <w:rPr>
          <w:rFonts w:ascii="Times New Roman" w:hAnsi="Times New Roman"/>
          <w:sz w:val="28"/>
          <w:szCs w:val="28"/>
        </w:rPr>
        <w:t>- Tăng cường các hoạt động xúc tiến du lịch giữa hai nước.</w:t>
      </w:r>
    </w:p>
    <w:p w:rsidR="00550750" w:rsidRDefault="00CF5A11" w:rsidP="00CF5A11">
      <w:pPr>
        <w:spacing w:before="120" w:after="120" w:line="380" w:lineRule="exact"/>
        <w:jc w:val="both"/>
        <w:rPr>
          <w:rFonts w:ascii="Times New Roman" w:hAnsi="Times New Roman"/>
          <w:sz w:val="28"/>
          <w:szCs w:val="28"/>
        </w:rPr>
      </w:pPr>
      <w:r>
        <w:rPr>
          <w:rFonts w:ascii="Times New Roman" w:hAnsi="Times New Roman"/>
          <w:sz w:val="28"/>
          <w:szCs w:val="28"/>
        </w:rPr>
        <w:t xml:space="preserve"> </w:t>
      </w:r>
    </w:p>
    <w:p w:rsidR="00550750" w:rsidRPr="00550750" w:rsidRDefault="00550750" w:rsidP="00550750">
      <w:pPr>
        <w:ind w:firstLine="709"/>
        <w:jc w:val="both"/>
        <w:rPr>
          <w:rFonts w:ascii="Times New Roman" w:hAnsi="Times New Roman"/>
          <w:sz w:val="28"/>
          <w:szCs w:val="28"/>
        </w:rPr>
      </w:pPr>
    </w:p>
    <w:sectPr w:rsidR="00550750" w:rsidRPr="00550750" w:rsidSect="00132BBB">
      <w:footerReference w:type="default" r:id="rId7"/>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FF8" w:rsidRDefault="00AE2FF8" w:rsidP="00816774">
      <w:pPr>
        <w:spacing w:line="240" w:lineRule="auto"/>
      </w:pPr>
      <w:r>
        <w:separator/>
      </w:r>
    </w:p>
  </w:endnote>
  <w:endnote w:type="continuationSeparator" w:id="0">
    <w:p w:rsidR="00AE2FF8" w:rsidRDefault="00AE2FF8" w:rsidP="008167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74" w:rsidRPr="00816774" w:rsidRDefault="00816774">
    <w:pPr>
      <w:pStyle w:val="Footer"/>
      <w:jc w:val="right"/>
      <w:rPr>
        <w:rFonts w:ascii="Times New Roman" w:hAnsi="Times New Roman"/>
        <w:sz w:val="28"/>
        <w:szCs w:val="28"/>
      </w:rPr>
    </w:pPr>
    <w:r w:rsidRPr="00816774">
      <w:rPr>
        <w:rFonts w:ascii="Times New Roman" w:hAnsi="Times New Roman"/>
        <w:sz w:val="28"/>
        <w:szCs w:val="28"/>
      </w:rPr>
      <w:fldChar w:fldCharType="begin"/>
    </w:r>
    <w:r w:rsidRPr="00816774">
      <w:rPr>
        <w:rFonts w:ascii="Times New Roman" w:hAnsi="Times New Roman"/>
        <w:sz w:val="28"/>
        <w:szCs w:val="28"/>
      </w:rPr>
      <w:instrText xml:space="preserve"> PAGE   \* MERGEFORMAT </w:instrText>
    </w:r>
    <w:r w:rsidRPr="00816774">
      <w:rPr>
        <w:rFonts w:ascii="Times New Roman" w:hAnsi="Times New Roman"/>
        <w:sz w:val="28"/>
        <w:szCs w:val="28"/>
      </w:rPr>
      <w:fldChar w:fldCharType="separate"/>
    </w:r>
    <w:r w:rsidR="0027217B">
      <w:rPr>
        <w:rFonts w:ascii="Times New Roman" w:hAnsi="Times New Roman"/>
        <w:noProof/>
        <w:sz w:val="28"/>
        <w:szCs w:val="28"/>
      </w:rPr>
      <w:t>4</w:t>
    </w:r>
    <w:r w:rsidRPr="00816774">
      <w:rPr>
        <w:rFonts w:ascii="Times New Roman" w:hAnsi="Times New Roman"/>
        <w:noProof/>
        <w:sz w:val="28"/>
        <w:szCs w:val="28"/>
      </w:rPr>
      <w:fldChar w:fldCharType="end"/>
    </w:r>
  </w:p>
  <w:p w:rsidR="00816774" w:rsidRDefault="008167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FF8" w:rsidRDefault="00AE2FF8" w:rsidP="00816774">
      <w:pPr>
        <w:spacing w:line="240" w:lineRule="auto"/>
      </w:pPr>
      <w:r>
        <w:separator/>
      </w:r>
    </w:p>
  </w:footnote>
  <w:footnote w:type="continuationSeparator" w:id="0">
    <w:p w:rsidR="00AE2FF8" w:rsidRDefault="00AE2FF8" w:rsidP="008167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F51B8"/>
    <w:multiLevelType w:val="hybridMultilevel"/>
    <w:tmpl w:val="6BBEE732"/>
    <w:lvl w:ilvl="0" w:tplc="653646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3B"/>
    <w:rsid w:val="000137C7"/>
    <w:rsid w:val="0002540D"/>
    <w:rsid w:val="0009091E"/>
    <w:rsid w:val="000C1B60"/>
    <w:rsid w:val="001200D9"/>
    <w:rsid w:val="00132BBB"/>
    <w:rsid w:val="001A2F40"/>
    <w:rsid w:val="001D1813"/>
    <w:rsid w:val="00232738"/>
    <w:rsid w:val="0027217B"/>
    <w:rsid w:val="002A5DE0"/>
    <w:rsid w:val="003066D3"/>
    <w:rsid w:val="00357472"/>
    <w:rsid w:val="004721FC"/>
    <w:rsid w:val="004D2D45"/>
    <w:rsid w:val="00502B40"/>
    <w:rsid w:val="00521F30"/>
    <w:rsid w:val="00550750"/>
    <w:rsid w:val="00574BE5"/>
    <w:rsid w:val="00703EE0"/>
    <w:rsid w:val="00721BE8"/>
    <w:rsid w:val="00782A0A"/>
    <w:rsid w:val="00786713"/>
    <w:rsid w:val="00807E64"/>
    <w:rsid w:val="00816774"/>
    <w:rsid w:val="00832D6D"/>
    <w:rsid w:val="00852F3F"/>
    <w:rsid w:val="008975AC"/>
    <w:rsid w:val="008D28AA"/>
    <w:rsid w:val="00914C06"/>
    <w:rsid w:val="009A3FD0"/>
    <w:rsid w:val="00A01675"/>
    <w:rsid w:val="00A37C33"/>
    <w:rsid w:val="00A9199E"/>
    <w:rsid w:val="00AE2FF8"/>
    <w:rsid w:val="00B23F07"/>
    <w:rsid w:val="00B767C0"/>
    <w:rsid w:val="00BD444F"/>
    <w:rsid w:val="00C17CC8"/>
    <w:rsid w:val="00CD4F62"/>
    <w:rsid w:val="00CF5A11"/>
    <w:rsid w:val="00D81C3B"/>
    <w:rsid w:val="00DA62BA"/>
    <w:rsid w:val="00EA533B"/>
    <w:rsid w:val="00EC239F"/>
    <w:rsid w:val="00EF382B"/>
    <w:rsid w:val="00F7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53FE9-E252-44DA-9EEB-D0526014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C7"/>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7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32BBB"/>
    <w:pPr>
      <w:ind w:left="720"/>
      <w:contextualSpacing/>
    </w:pPr>
  </w:style>
  <w:style w:type="paragraph" w:styleId="Header">
    <w:name w:val="header"/>
    <w:basedOn w:val="Normal"/>
    <w:link w:val="HeaderChar"/>
    <w:uiPriority w:val="99"/>
    <w:unhideWhenUsed/>
    <w:rsid w:val="00816774"/>
    <w:pPr>
      <w:tabs>
        <w:tab w:val="center" w:pos="4680"/>
        <w:tab w:val="right" w:pos="9360"/>
      </w:tabs>
    </w:pPr>
  </w:style>
  <w:style w:type="character" w:customStyle="1" w:styleId="HeaderChar">
    <w:name w:val="Header Char"/>
    <w:link w:val="Header"/>
    <w:uiPriority w:val="99"/>
    <w:rsid w:val="00816774"/>
    <w:rPr>
      <w:sz w:val="22"/>
      <w:szCs w:val="22"/>
    </w:rPr>
  </w:style>
  <w:style w:type="paragraph" w:styleId="Footer">
    <w:name w:val="footer"/>
    <w:basedOn w:val="Normal"/>
    <w:link w:val="FooterChar"/>
    <w:uiPriority w:val="99"/>
    <w:unhideWhenUsed/>
    <w:rsid w:val="00816774"/>
    <w:pPr>
      <w:tabs>
        <w:tab w:val="center" w:pos="4680"/>
        <w:tab w:val="right" w:pos="9360"/>
      </w:tabs>
    </w:pPr>
  </w:style>
  <w:style w:type="character" w:customStyle="1" w:styleId="FooterChar">
    <w:name w:val="Footer Char"/>
    <w:link w:val="Footer"/>
    <w:uiPriority w:val="99"/>
    <w:rsid w:val="0081677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2685</Words>
  <Characters>15310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QuangPM</dc:creator>
  <cp:lastModifiedBy>Acer</cp:lastModifiedBy>
  <cp:revision>2</cp:revision>
  <cp:lastPrinted>2019-04-11T09:50:00Z</cp:lastPrinted>
  <dcterms:created xsi:type="dcterms:W3CDTF">2019-10-01T23:57:00Z</dcterms:created>
  <dcterms:modified xsi:type="dcterms:W3CDTF">2019-10-01T23:57:00Z</dcterms:modified>
</cp:coreProperties>
</file>