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ook w:val="01E0" w:firstRow="1" w:lastRow="1" w:firstColumn="1" w:lastColumn="1" w:noHBand="0" w:noVBand="0"/>
      </w:tblPr>
      <w:tblGrid>
        <w:gridCol w:w="4253"/>
        <w:gridCol w:w="5386"/>
        <w:gridCol w:w="142"/>
      </w:tblGrid>
      <w:tr w:rsidR="008F4830" w:rsidRPr="009F78F2" w:rsidTr="000B78DE">
        <w:trPr>
          <w:trHeight w:val="813"/>
        </w:trPr>
        <w:tc>
          <w:tcPr>
            <w:tcW w:w="4253" w:type="dxa"/>
          </w:tcPr>
          <w:p w:rsidR="008F4830" w:rsidRPr="000B78DE" w:rsidRDefault="008F4830" w:rsidP="00AD759D">
            <w:pPr>
              <w:jc w:val="center"/>
            </w:pPr>
            <w:bookmarkStart w:id="0" w:name="_GoBack"/>
            <w:bookmarkEnd w:id="0"/>
            <w:r w:rsidRPr="000B78DE">
              <w:t>BỘ CÔNG THƯƠNG</w:t>
            </w:r>
          </w:p>
          <w:p w:rsidR="008F4830" w:rsidRPr="000B78DE" w:rsidRDefault="008F4830" w:rsidP="000B78DE">
            <w:pPr>
              <w:rPr>
                <w:b/>
              </w:rPr>
            </w:pPr>
            <w:r w:rsidRPr="000B78DE">
              <w:rPr>
                <w:b/>
              </w:rPr>
              <w:t>CỤC QUẢN LÝ CẠNH TRANH</w:t>
            </w:r>
          </w:p>
          <w:p w:rsidR="00AD759D" w:rsidRPr="00AD759D" w:rsidRDefault="00AD759D" w:rsidP="00AD759D">
            <w:pPr>
              <w:jc w:val="center"/>
              <w:rPr>
                <w:b/>
                <w:sz w:val="10"/>
                <w:szCs w:val="28"/>
              </w:rPr>
            </w:pPr>
            <w:r w:rsidRPr="00AD759D">
              <w:rPr>
                <w:b/>
                <w:sz w:val="10"/>
                <w:szCs w:val="28"/>
              </w:rPr>
              <w:t>_</w:t>
            </w:r>
            <w:r>
              <w:rPr>
                <w:b/>
                <w:sz w:val="10"/>
                <w:szCs w:val="28"/>
              </w:rPr>
              <w:t>__________________</w:t>
            </w:r>
            <w:r w:rsidRPr="00AD759D">
              <w:rPr>
                <w:b/>
                <w:sz w:val="10"/>
                <w:szCs w:val="28"/>
              </w:rPr>
              <w:t>_</w:t>
            </w:r>
            <w:r>
              <w:rPr>
                <w:b/>
                <w:sz w:val="10"/>
                <w:szCs w:val="28"/>
              </w:rPr>
              <w:t>_</w:t>
            </w:r>
            <w:r w:rsidRPr="00AD759D">
              <w:rPr>
                <w:b/>
                <w:sz w:val="10"/>
                <w:szCs w:val="28"/>
              </w:rPr>
              <w:t>_______</w:t>
            </w:r>
          </w:p>
          <w:p w:rsidR="008F4830" w:rsidRPr="00D45484" w:rsidRDefault="008F4830" w:rsidP="008E7CFD">
            <w:pPr>
              <w:jc w:val="center"/>
              <w:rPr>
                <w:b/>
                <w:sz w:val="14"/>
              </w:rPr>
            </w:pPr>
          </w:p>
        </w:tc>
        <w:tc>
          <w:tcPr>
            <w:tcW w:w="5528" w:type="dxa"/>
            <w:gridSpan w:val="2"/>
          </w:tcPr>
          <w:p w:rsidR="008F4830" w:rsidRPr="000B78DE" w:rsidRDefault="008F4830" w:rsidP="000B78DE">
            <w:pPr>
              <w:ind w:left="-108" w:right="-107"/>
              <w:jc w:val="center"/>
              <w:rPr>
                <w:b/>
              </w:rPr>
            </w:pPr>
            <w:r w:rsidRPr="000B78DE">
              <w:rPr>
                <w:b/>
              </w:rPr>
              <w:t>CỘNG HÒA XÃ HỘI CHỦ NGHĨA VIỆT NAM</w:t>
            </w:r>
          </w:p>
          <w:p w:rsidR="008F4830" w:rsidRPr="000B78DE" w:rsidRDefault="008F4830" w:rsidP="000B78DE">
            <w:pPr>
              <w:ind w:left="-108" w:right="-107" w:firstLine="810"/>
              <w:jc w:val="center"/>
              <w:rPr>
                <w:b/>
              </w:rPr>
            </w:pPr>
            <w:r w:rsidRPr="000B78DE">
              <w:rPr>
                <w:b/>
              </w:rPr>
              <w:t>Độc lập – Tự do – Hạnh phúc</w:t>
            </w:r>
          </w:p>
          <w:p w:rsidR="00AD759D" w:rsidRPr="00E41816" w:rsidRDefault="00AD759D" w:rsidP="000B78DE">
            <w:pPr>
              <w:ind w:left="-108" w:firstLine="810"/>
              <w:jc w:val="center"/>
              <w:rPr>
                <w:sz w:val="28"/>
                <w:szCs w:val="28"/>
              </w:rPr>
            </w:pPr>
            <w:r>
              <w:rPr>
                <w:b/>
                <w:sz w:val="10"/>
                <w:szCs w:val="28"/>
              </w:rPr>
              <w:t>_____________________________________________________</w:t>
            </w:r>
            <w:r w:rsidRPr="00AD759D">
              <w:rPr>
                <w:b/>
                <w:sz w:val="10"/>
                <w:szCs w:val="28"/>
              </w:rPr>
              <w:t>_________________</w:t>
            </w:r>
          </w:p>
        </w:tc>
      </w:tr>
      <w:tr w:rsidR="008F4830" w:rsidRPr="009F78F2" w:rsidTr="000B78DE">
        <w:trPr>
          <w:gridAfter w:val="1"/>
          <w:wAfter w:w="142" w:type="dxa"/>
          <w:trHeight w:val="235"/>
        </w:trPr>
        <w:tc>
          <w:tcPr>
            <w:tcW w:w="4253" w:type="dxa"/>
          </w:tcPr>
          <w:p w:rsidR="008F4830" w:rsidRPr="009F78F2" w:rsidRDefault="008F4830" w:rsidP="00D45484">
            <w:pPr>
              <w:jc w:val="center"/>
            </w:pPr>
          </w:p>
        </w:tc>
        <w:tc>
          <w:tcPr>
            <w:tcW w:w="5386" w:type="dxa"/>
          </w:tcPr>
          <w:p w:rsidR="008F4830" w:rsidRPr="006975F7" w:rsidRDefault="008F4830" w:rsidP="008E7CFD">
            <w:pPr>
              <w:ind w:firstLine="810"/>
              <w:jc w:val="center"/>
              <w:rPr>
                <w:i/>
              </w:rPr>
            </w:pPr>
          </w:p>
        </w:tc>
      </w:tr>
      <w:tr w:rsidR="008F4830" w:rsidRPr="009F78F2" w:rsidTr="000B78DE">
        <w:trPr>
          <w:gridAfter w:val="1"/>
          <w:wAfter w:w="142" w:type="dxa"/>
          <w:trHeight w:val="318"/>
        </w:trPr>
        <w:tc>
          <w:tcPr>
            <w:tcW w:w="4253" w:type="dxa"/>
          </w:tcPr>
          <w:p w:rsidR="00CF74F1" w:rsidRPr="00AE15FE" w:rsidRDefault="00CF74F1" w:rsidP="000B78DE">
            <w:pPr>
              <w:ind w:left="-108"/>
              <w:jc w:val="center"/>
              <w:rPr>
                <w:sz w:val="30"/>
                <w:szCs w:val="24"/>
              </w:rPr>
            </w:pPr>
          </w:p>
        </w:tc>
        <w:tc>
          <w:tcPr>
            <w:tcW w:w="5386" w:type="dxa"/>
          </w:tcPr>
          <w:p w:rsidR="00CF74F1" w:rsidRPr="009C46A3" w:rsidRDefault="002512A1" w:rsidP="001A0ED2">
            <w:pPr>
              <w:ind w:left="34" w:firstLine="776"/>
              <w:jc w:val="center"/>
              <w:rPr>
                <w:i/>
              </w:rPr>
            </w:pPr>
            <w:r w:rsidRPr="00E41816">
              <w:rPr>
                <w:i/>
                <w:sz w:val="24"/>
                <w:szCs w:val="24"/>
              </w:rPr>
              <w:t xml:space="preserve">  </w:t>
            </w:r>
            <w:r w:rsidR="008F4830" w:rsidRPr="009C46A3">
              <w:rPr>
                <w:i/>
              </w:rPr>
              <w:t xml:space="preserve">Hà Nội, ngày </w:t>
            </w:r>
            <w:r w:rsidR="001A0ED2">
              <w:rPr>
                <w:i/>
              </w:rPr>
              <w:t>23</w:t>
            </w:r>
            <w:r w:rsidR="008F4830" w:rsidRPr="009C46A3">
              <w:rPr>
                <w:i/>
              </w:rPr>
              <w:t xml:space="preserve"> tháng </w:t>
            </w:r>
            <w:r w:rsidR="0096045A">
              <w:rPr>
                <w:i/>
              </w:rPr>
              <w:t>6</w:t>
            </w:r>
            <w:r w:rsidR="00CB2EDF" w:rsidRPr="009C46A3">
              <w:rPr>
                <w:i/>
              </w:rPr>
              <w:t xml:space="preserve"> </w:t>
            </w:r>
            <w:r w:rsidR="008F4830" w:rsidRPr="009C46A3">
              <w:rPr>
                <w:i/>
              </w:rPr>
              <w:t xml:space="preserve">năm </w:t>
            </w:r>
            <w:r w:rsidR="00930E87" w:rsidRPr="009C46A3">
              <w:rPr>
                <w:i/>
              </w:rPr>
              <w:t>201</w:t>
            </w:r>
            <w:r w:rsidR="009C46A3">
              <w:rPr>
                <w:i/>
              </w:rPr>
              <w:t>7</w:t>
            </w:r>
          </w:p>
        </w:tc>
      </w:tr>
    </w:tbl>
    <w:p w:rsidR="000B78DE" w:rsidRDefault="000B78DE" w:rsidP="00C9580E">
      <w:pPr>
        <w:spacing w:before="120" w:after="120" w:line="312" w:lineRule="auto"/>
        <w:jc w:val="center"/>
      </w:pPr>
    </w:p>
    <w:p w:rsidR="0096045A" w:rsidRPr="0096045A" w:rsidRDefault="0096045A" w:rsidP="00C9580E">
      <w:pPr>
        <w:spacing w:before="120" w:after="120" w:line="312" w:lineRule="auto"/>
        <w:jc w:val="center"/>
        <w:rPr>
          <w:b/>
        </w:rPr>
      </w:pPr>
      <w:r w:rsidRPr="0096045A">
        <w:rPr>
          <w:b/>
        </w:rPr>
        <w:t>HƯỚNG DẪN HOÀN THIỆN HỒ SƠ MIỄN TRỪ ÁP DỤNG BIỆN PHÁP TỰ VỆ ĐỐI VỚI DOANH NGHIỆP NHẬP KHẨU TÔN MÀU CHẤT LƯỢNG CAO</w:t>
      </w:r>
    </w:p>
    <w:p w:rsidR="0096045A" w:rsidRPr="00B46CB7" w:rsidRDefault="00A83264" w:rsidP="00C9580E">
      <w:pPr>
        <w:spacing w:before="120" w:after="120" w:line="312" w:lineRule="auto"/>
        <w:jc w:val="center"/>
        <w:rPr>
          <w:i/>
        </w:rPr>
      </w:pPr>
      <w:r>
        <w:rPr>
          <w:i/>
        </w:rPr>
        <w:t>(Vụ việc SG05</w:t>
      </w:r>
      <w:r w:rsidR="0096045A" w:rsidRPr="00B46CB7">
        <w:rPr>
          <w:i/>
        </w:rPr>
        <w:t>)</w:t>
      </w:r>
    </w:p>
    <w:p w:rsidR="0096045A" w:rsidRPr="000B78DE" w:rsidRDefault="0096045A" w:rsidP="00C9580E">
      <w:pPr>
        <w:spacing w:before="120" w:after="120" w:line="312" w:lineRule="auto"/>
        <w:jc w:val="center"/>
        <w:rPr>
          <w:sz w:val="4"/>
        </w:rPr>
      </w:pPr>
    </w:p>
    <w:p w:rsidR="00DF7B68" w:rsidRDefault="0096045A" w:rsidP="00C9580E">
      <w:pPr>
        <w:spacing w:before="120" w:after="120" w:line="312" w:lineRule="auto"/>
        <w:ind w:firstLine="720"/>
        <w:jc w:val="both"/>
      </w:pPr>
      <w:r>
        <w:t xml:space="preserve">Căn cứ </w:t>
      </w:r>
      <w:r w:rsidR="00A83264">
        <w:t xml:space="preserve">Mục 8 và </w:t>
      </w:r>
      <w:r>
        <w:t>Phụ lục 2 kèm theo Thông báo đi kèm Quyết định số 1931/QĐ-BCT ngày 31 tháng 5 năm 2017 của Bộ trưởng Bộ Công Thương, các doanh nghiệp trực tiếp sản xuất có nhu cầu sử dụng tôn màu nhập khẩu chất lượng cao gửi Hồ sơ đề nghị miễn trừ áp dụng biện pháp tự vệ đến Cục Quản lý cạnh tranh – Bộ Công Thương. Nhằm hỗ trợ doanh nghiệp trong quá trình chuẩn bị Hồ sơ đề nghị miễn trừ, C</w:t>
      </w:r>
      <w:r w:rsidR="00706CB7">
        <w:t>ục Quản lý cạnh tranh hướng dẫn chi tiết hoàn thiện Hồ sơ, cụ thể như sau:</w:t>
      </w:r>
    </w:p>
    <w:p w:rsidR="00706CB7" w:rsidRPr="00707843" w:rsidRDefault="00706CB7" w:rsidP="00C9580E">
      <w:pPr>
        <w:spacing w:before="120" w:after="120" w:line="312" w:lineRule="auto"/>
        <w:ind w:firstLine="720"/>
        <w:jc w:val="both"/>
        <w:rPr>
          <w:b/>
          <w:i/>
        </w:rPr>
      </w:pPr>
      <w:r w:rsidRPr="00707843">
        <w:rPr>
          <w:b/>
          <w:i/>
        </w:rPr>
        <w:t xml:space="preserve">1. </w:t>
      </w:r>
      <w:r w:rsidR="00707843">
        <w:rPr>
          <w:b/>
          <w:i/>
        </w:rPr>
        <w:t>Đối tượng nộp Hồ sơ miễn trừ</w:t>
      </w:r>
    </w:p>
    <w:p w:rsidR="00706CB7" w:rsidRDefault="00706CB7" w:rsidP="00C9580E">
      <w:pPr>
        <w:spacing w:before="120" w:after="120" w:line="312" w:lineRule="auto"/>
        <w:ind w:firstLine="720"/>
        <w:jc w:val="both"/>
      </w:pPr>
      <w:r>
        <w:t xml:space="preserve">Là các doanh nghiệp sản xuất, trực tiếp nhập khẩu hoặc </w:t>
      </w:r>
      <w:r w:rsidR="00E84A4D">
        <w:t xml:space="preserve">nhập khẩu thông qua </w:t>
      </w:r>
      <w:r w:rsidR="009514AC">
        <w:t xml:space="preserve">hình thức </w:t>
      </w:r>
      <w:r w:rsidR="00E84A4D">
        <w:t>ủy thác các sản phẩm tôn màu chất lượng cao từ các quốc gia/vùng lãnh thổ.</w:t>
      </w:r>
    </w:p>
    <w:p w:rsidR="00706CB7" w:rsidRPr="00707843" w:rsidRDefault="00E84A4D" w:rsidP="00C9580E">
      <w:pPr>
        <w:spacing w:before="120" w:after="120" w:line="312" w:lineRule="auto"/>
        <w:ind w:firstLine="720"/>
        <w:jc w:val="both"/>
        <w:rPr>
          <w:b/>
          <w:i/>
        </w:rPr>
      </w:pPr>
      <w:r w:rsidRPr="00707843">
        <w:rPr>
          <w:b/>
          <w:i/>
        </w:rPr>
        <w:t xml:space="preserve">2. </w:t>
      </w:r>
      <w:r w:rsidR="00706CB7" w:rsidRPr="00707843">
        <w:rPr>
          <w:b/>
          <w:i/>
        </w:rPr>
        <w:t>Đơn đề nghị m</w:t>
      </w:r>
      <w:r w:rsidR="00707843" w:rsidRPr="00707843">
        <w:rPr>
          <w:b/>
          <w:i/>
        </w:rPr>
        <w:t>iễn trừ áp dụng biện pháp tự vệ</w:t>
      </w:r>
    </w:p>
    <w:p w:rsidR="00AF25C9" w:rsidRDefault="00706CB7" w:rsidP="00C9580E">
      <w:pPr>
        <w:spacing w:before="120" w:after="120" w:line="312" w:lineRule="auto"/>
        <w:ind w:firstLine="720"/>
        <w:jc w:val="both"/>
      </w:pPr>
      <w:r>
        <w:t xml:space="preserve">Mẫu đơn được đăng tải trên </w:t>
      </w:r>
      <w:r w:rsidR="00E84A4D">
        <w:t>trang thông tin điện tử</w:t>
      </w:r>
      <w:r>
        <w:t xml:space="preserve"> của Cục Quản lý cạnh tranh. Đề nghị doanh nghiệp tải </w:t>
      </w:r>
      <w:r w:rsidR="00E84A4D">
        <w:t xml:space="preserve">mẫu đơn tại website: </w:t>
      </w:r>
    </w:p>
    <w:p w:rsidR="00706CB7" w:rsidRDefault="006C51F7" w:rsidP="00C9580E">
      <w:pPr>
        <w:spacing w:before="120" w:after="120" w:line="312" w:lineRule="auto"/>
        <w:ind w:firstLine="720"/>
        <w:jc w:val="both"/>
      </w:pPr>
      <w:hyperlink r:id="rId8" w:history="1">
        <w:r w:rsidR="00AF25C9" w:rsidRPr="00CE305A">
          <w:rPr>
            <w:rStyle w:val="Hyperlink"/>
          </w:rPr>
          <w:t>http://www.qlct.gov.vn/NewsDetail.aspx?ID=3646&amp;CateID=522</w:t>
        </w:r>
      </w:hyperlink>
      <w:r w:rsidR="00AF25C9">
        <w:t xml:space="preserve"> </w:t>
      </w:r>
      <w:r w:rsidR="00E84A4D">
        <w:t xml:space="preserve"> .</w:t>
      </w:r>
    </w:p>
    <w:p w:rsidR="00A83264" w:rsidRDefault="00E84A4D" w:rsidP="00E84A4D">
      <w:pPr>
        <w:spacing w:before="120" w:after="120" w:line="312" w:lineRule="auto"/>
        <w:ind w:firstLine="720"/>
        <w:jc w:val="both"/>
      </w:pPr>
      <w:r w:rsidRPr="00B46CB7">
        <w:rPr>
          <w:b/>
          <w:i/>
        </w:rPr>
        <w:t>3. Hồ sơ về năng lực sản xuất hàng hóa có sử dụng đầu vào là tôn màu chất lượng cao</w:t>
      </w:r>
      <w:r>
        <w:t>.</w:t>
      </w:r>
    </w:p>
    <w:p w:rsidR="00E84A4D" w:rsidRDefault="00E84A4D" w:rsidP="00E84A4D">
      <w:pPr>
        <w:spacing w:before="120" w:after="120" w:line="312" w:lineRule="auto"/>
        <w:ind w:firstLine="720"/>
        <w:jc w:val="both"/>
      </w:pPr>
      <w:r>
        <w:t xml:space="preserve"> Doanh nghiệp cần cung cấp một số tài liệu </w:t>
      </w:r>
      <w:r w:rsidR="00A83264">
        <w:t xml:space="preserve">về năng lực sản xuất </w:t>
      </w:r>
      <w:r>
        <w:t>như sau:</w:t>
      </w:r>
    </w:p>
    <w:p w:rsidR="00E84A4D" w:rsidRDefault="00E84A4D" w:rsidP="00E84A4D">
      <w:pPr>
        <w:spacing w:before="120" w:after="120" w:line="312" w:lineRule="auto"/>
        <w:ind w:firstLine="720"/>
        <w:jc w:val="both"/>
      </w:pPr>
      <w:r>
        <w:t>- Giấy chứng nhận đầu tư</w:t>
      </w:r>
      <w:r w:rsidR="002C5328">
        <w:t xml:space="preserve"> hoặc Giấy đăng ký kinh doanh</w:t>
      </w:r>
      <w:r>
        <w:t>.</w:t>
      </w:r>
    </w:p>
    <w:p w:rsidR="00E84A4D" w:rsidRDefault="00E84A4D" w:rsidP="00E84A4D">
      <w:pPr>
        <w:spacing w:before="120" w:after="120" w:line="312" w:lineRule="auto"/>
        <w:ind w:firstLine="720"/>
        <w:jc w:val="both"/>
      </w:pPr>
      <w:r>
        <w:t>Trong trường hợp Giấy chứng nhận đầu tư</w:t>
      </w:r>
      <w:r w:rsidR="00D24636">
        <w:t>/Giấy đăng ký kinh doanh</w:t>
      </w:r>
      <w:r>
        <w:t xml:space="preserve"> của doanh nghiệp không thể hiện công suất </w:t>
      </w:r>
      <w:r w:rsidR="00694298">
        <w:t xml:space="preserve">thiết kế </w:t>
      </w:r>
      <w:r w:rsidR="00A83264">
        <w:t xml:space="preserve">hiện tại </w:t>
      </w:r>
      <w:r w:rsidR="00694298">
        <w:t xml:space="preserve">của công ty, đề nghị cung cấp bổ sung các tài liệu </w:t>
      </w:r>
      <w:r w:rsidR="003B4265">
        <w:t>chứng minh năng lực sản xuất của công ty.</w:t>
      </w:r>
    </w:p>
    <w:p w:rsidR="002C5328" w:rsidRDefault="002C5328" w:rsidP="00E84A4D">
      <w:pPr>
        <w:spacing w:before="120" w:after="120" w:line="312" w:lineRule="auto"/>
        <w:ind w:firstLine="720"/>
        <w:jc w:val="both"/>
      </w:pPr>
      <w:r>
        <w:t xml:space="preserve">- Liệt kê các cơ sở sản xuất hàng hóa sử dụng sản phẩm tôn màu nhập khẩu chất lượng cao của Công ty hoặc cơ sở gia công cho hàng hóa </w:t>
      </w:r>
      <w:r w:rsidR="00A83264">
        <w:t xml:space="preserve">của công ty </w:t>
      </w:r>
      <w:r>
        <w:t>tôn màu chất lượng cao do Công ty nhập khẩu.</w:t>
      </w:r>
    </w:p>
    <w:p w:rsidR="003B4265" w:rsidRDefault="003B4265" w:rsidP="00E84A4D">
      <w:pPr>
        <w:spacing w:before="120" w:after="120" w:line="312" w:lineRule="auto"/>
        <w:ind w:firstLine="720"/>
        <w:jc w:val="both"/>
      </w:pPr>
      <w:r>
        <w:lastRenderedPageBreak/>
        <w:t>- Thống kê chi tiết các dây chuyền sản xuất, nhà xưởng, máy móc.</w:t>
      </w:r>
      <w:r w:rsidR="002C5328">
        <w:t xml:space="preserve"> Cung cấp các văn bản, tài liệu chứng</w:t>
      </w:r>
      <w:r w:rsidR="002C5328" w:rsidRPr="002C5328">
        <w:t xml:space="preserve"> minh quyền sử dụng </w:t>
      </w:r>
      <w:r w:rsidR="001A7378">
        <w:t xml:space="preserve">và sở hữu </w:t>
      </w:r>
      <w:r w:rsidR="002C5328" w:rsidRPr="002C5328">
        <w:t xml:space="preserve">hợp pháp về nhà xưởng, mặt bằng sản xuất; kho, bãi chứa nguyên </w:t>
      </w:r>
      <w:r w:rsidR="002C5328">
        <w:t>liệu, vật tư, máy móc, thiết bị. Trong trường hợp đi thuê, Công ty cần cung cấp các hợp đồng thuê tài sản, nhà xưởng.</w:t>
      </w:r>
    </w:p>
    <w:p w:rsidR="003B4265" w:rsidRDefault="003B4265" w:rsidP="00E84A4D">
      <w:pPr>
        <w:spacing w:before="120" w:after="120" w:line="312" w:lineRule="auto"/>
        <w:ind w:firstLine="720"/>
        <w:jc w:val="both"/>
      </w:pPr>
      <w:r>
        <w:t>Trong trường hợp công ty thuê gia công bên ngoài, đề nghị cung cấp hồ sơ năng lực sản xuất của bên gia công tương tự như Công ty</w:t>
      </w:r>
      <w:r w:rsidR="00707843">
        <w:t xml:space="preserve"> nộp Hồ sơ đề nghị miễn trừ</w:t>
      </w:r>
      <w:r>
        <w:t>.</w:t>
      </w:r>
    </w:p>
    <w:p w:rsidR="00B46CB7" w:rsidRDefault="00B46CB7" w:rsidP="00E84A4D">
      <w:pPr>
        <w:spacing w:before="120" w:after="120" w:line="312" w:lineRule="auto"/>
        <w:ind w:firstLine="720"/>
        <w:jc w:val="both"/>
      </w:pPr>
      <w:r>
        <w:t>- Liệt kê chi tiết các sản phẩm do Công ty sản xuất có sử dụng sản phẩm tôn màu nhập khẩu chất lượng cao, tỷ lệ sử dụng sản phẩm tôn màu nhập khẩu trong từng sản phẩm nêu trên.</w:t>
      </w:r>
    </w:p>
    <w:p w:rsidR="003B4265" w:rsidRPr="00B46CB7" w:rsidRDefault="003B4265" w:rsidP="00E84A4D">
      <w:pPr>
        <w:spacing w:before="120" w:after="120" w:line="312" w:lineRule="auto"/>
        <w:ind w:firstLine="720"/>
        <w:jc w:val="both"/>
        <w:rPr>
          <w:b/>
          <w:i/>
        </w:rPr>
      </w:pPr>
      <w:r w:rsidRPr="00B46CB7">
        <w:rPr>
          <w:b/>
          <w:i/>
        </w:rPr>
        <w:t>4. Nhu cầu sử dụng hàng năm đối với tôn màu chất lượng cao</w:t>
      </w:r>
    </w:p>
    <w:p w:rsidR="00B46CB7" w:rsidRDefault="00707843" w:rsidP="00E84A4D">
      <w:pPr>
        <w:spacing w:before="120" w:after="120" w:line="312" w:lineRule="auto"/>
        <w:ind w:firstLine="720"/>
        <w:jc w:val="both"/>
      </w:pPr>
      <w:r>
        <w:t xml:space="preserve">- </w:t>
      </w:r>
      <w:r w:rsidR="00B46CB7">
        <w:t xml:space="preserve">Cung cấp số liệu về nhập khẩu và sử dụng sản phẩm tôn màu chất lượng cao phục vụ mục đích sản xuất của Công ty trong 03 năm 2014,2015 và 2016. </w:t>
      </w:r>
    </w:p>
    <w:p w:rsidR="00B46CB7" w:rsidRDefault="00B46CB7" w:rsidP="00E84A4D">
      <w:pPr>
        <w:spacing w:before="120" w:after="120" w:line="312" w:lineRule="auto"/>
        <w:ind w:firstLine="720"/>
        <w:jc w:val="both"/>
      </w:pPr>
      <w:r>
        <w:t>- Thống kê sản lượng sản xuất hàng hóa có sử dụng sản phẩm tôn màu chất lượng cao của Công ty trong 03 năm 2014, 2015 và 2016. Cung cấp các hồ sơ, tài liệu chứng minh kèm theo (Báo cáo xuất nhập tồn kho nguyên liệu và thành phẩm, biên bản kiểm kê kho nguyên liệu và thành phẩm cuối kỳ kế toán của công ty).</w:t>
      </w:r>
      <w:r w:rsidR="009514AC">
        <w:t xml:space="preserve"> </w:t>
      </w:r>
    </w:p>
    <w:p w:rsidR="00707843" w:rsidRDefault="00B46CB7" w:rsidP="00E84A4D">
      <w:pPr>
        <w:spacing w:before="120" w:after="120" w:line="312" w:lineRule="auto"/>
        <w:ind w:firstLine="720"/>
        <w:jc w:val="both"/>
      </w:pPr>
      <w:r>
        <w:t xml:space="preserve">- </w:t>
      </w:r>
      <w:r w:rsidR="00707843">
        <w:t>Trình bày cụ thể về</w:t>
      </w:r>
      <w:r>
        <w:t xml:space="preserve"> việc sử dụng</w:t>
      </w:r>
      <w:r w:rsidR="00707843">
        <w:t xml:space="preserve"> lượng tôn màu nhập khẩu đề nghị miễn trừ</w:t>
      </w:r>
      <w:r>
        <w:t xml:space="preserve"> năm 2017</w:t>
      </w:r>
      <w:r w:rsidR="00226126">
        <w:t xml:space="preserve"> bao gồm:</w:t>
      </w:r>
    </w:p>
    <w:p w:rsidR="00707843" w:rsidRDefault="00226126" w:rsidP="00E84A4D">
      <w:pPr>
        <w:spacing w:before="120" w:after="120" w:line="312" w:lineRule="auto"/>
        <w:ind w:firstLine="720"/>
        <w:jc w:val="both"/>
      </w:pPr>
      <w:r>
        <w:t xml:space="preserve">+ </w:t>
      </w:r>
      <w:r w:rsidR="00707843">
        <w:t>Giải trình chi tiết kế hoạch sản xuất theo tháng</w:t>
      </w:r>
      <w:r w:rsidR="00B46CB7">
        <w:t xml:space="preserve"> trong năm 2017</w:t>
      </w:r>
      <w:r w:rsidR="00707843">
        <w:t>. Cung cấp các hồ sơ, tài liệu chứng minh kèm theo.</w:t>
      </w:r>
    </w:p>
    <w:p w:rsidR="00707843" w:rsidRDefault="00226126" w:rsidP="00E84A4D">
      <w:pPr>
        <w:spacing w:before="120" w:after="120" w:line="312" w:lineRule="auto"/>
        <w:ind w:firstLine="720"/>
        <w:jc w:val="both"/>
      </w:pPr>
      <w:r>
        <w:t xml:space="preserve">+ </w:t>
      </w:r>
      <w:r w:rsidR="00707843">
        <w:t>Văn bản ghi nhận kế hoạch sản xuất trong năm 2017 đã được Ban giám đốc Công ty thông qua.</w:t>
      </w:r>
    </w:p>
    <w:p w:rsidR="00707843" w:rsidRDefault="00707843" w:rsidP="00E84A4D">
      <w:pPr>
        <w:spacing w:before="120" w:after="120" w:line="312" w:lineRule="auto"/>
        <w:ind w:firstLine="720"/>
        <w:jc w:val="both"/>
      </w:pPr>
      <w:r>
        <w:t xml:space="preserve">- Cung cấp văn bản quy định về Định mức tiêu hao nguyên vật liệu </w:t>
      </w:r>
      <w:r w:rsidR="00590AD1">
        <w:t xml:space="preserve">(NVL) </w:t>
      </w:r>
      <w:r>
        <w:t>của các sản phẩm do Công ty sản xuất trong năm 2017 có sử dụng nguyên liêu tôn màu nhập khẩu.</w:t>
      </w:r>
    </w:p>
    <w:p w:rsidR="00707843" w:rsidRPr="00B46CB7" w:rsidRDefault="00707843" w:rsidP="00E84A4D">
      <w:pPr>
        <w:spacing w:before="120" w:after="120" w:line="312" w:lineRule="auto"/>
        <w:ind w:firstLine="720"/>
        <w:jc w:val="both"/>
        <w:rPr>
          <w:b/>
          <w:i/>
        </w:rPr>
      </w:pPr>
      <w:r w:rsidRPr="00B46CB7">
        <w:rPr>
          <w:b/>
          <w:i/>
        </w:rPr>
        <w:t>5. Khác biệt (về đặc tính hóa học, bề mặt sản phẩm...) giữa sản phẩm tôn màu chất lượng cao do Công ty nhập khẩu và các sản phẩm tôn màu sản xuất trong nước.</w:t>
      </w:r>
    </w:p>
    <w:p w:rsidR="00707843" w:rsidRDefault="00707843" w:rsidP="00E84A4D">
      <w:pPr>
        <w:spacing w:before="120" w:after="120" w:line="312" w:lineRule="auto"/>
        <w:ind w:firstLine="720"/>
        <w:jc w:val="both"/>
      </w:pPr>
      <w:r>
        <w:t>- Cung cấp các tài liệu mô tả chi tiết sản phẩm tôn màu chất lượng cao do Công ty nhập khẩu.</w:t>
      </w:r>
    </w:p>
    <w:p w:rsidR="00707843" w:rsidRDefault="00707843" w:rsidP="00E84A4D">
      <w:pPr>
        <w:spacing w:before="120" w:after="120" w:line="312" w:lineRule="auto"/>
        <w:ind w:firstLine="720"/>
        <w:jc w:val="both"/>
      </w:pPr>
      <w:r>
        <w:t>- Danh sách các nhà cung cấp sản phẩm tôn màu chất lượng cao ở nước ngoài.</w:t>
      </w:r>
    </w:p>
    <w:p w:rsidR="00707843" w:rsidRDefault="00707843" w:rsidP="00707843">
      <w:pPr>
        <w:spacing w:before="120" w:after="120" w:line="312" w:lineRule="auto"/>
        <w:ind w:firstLine="720"/>
        <w:jc w:val="both"/>
      </w:pPr>
      <w:r>
        <w:t xml:space="preserve">- </w:t>
      </w:r>
      <w:r w:rsidR="00B46CB7">
        <w:t>Cung cấp c</w:t>
      </w:r>
      <w:r>
        <w:t xml:space="preserve">ác tài liệu, bằng chứng về việc ngành sản xuất trong nước chưa sản xuất được </w:t>
      </w:r>
      <w:r w:rsidR="00B46CB7">
        <w:t xml:space="preserve">sản phẩm tôn màu nhập khẩu chất lượng cao </w:t>
      </w:r>
      <w:r>
        <w:t>(email trao đổi, thư chào hàng, công nghệ ...).</w:t>
      </w:r>
    </w:p>
    <w:p w:rsidR="00590AD1" w:rsidRDefault="00590AD1" w:rsidP="00707843">
      <w:pPr>
        <w:spacing w:before="120" w:after="120" w:line="312" w:lineRule="auto"/>
        <w:ind w:firstLine="720"/>
        <w:jc w:val="both"/>
      </w:pPr>
    </w:p>
    <w:p w:rsidR="00A43174" w:rsidRDefault="00A43174" w:rsidP="00707843">
      <w:pPr>
        <w:spacing w:before="120" w:after="120" w:line="312" w:lineRule="auto"/>
        <w:ind w:firstLine="720"/>
        <w:jc w:val="both"/>
        <w:rPr>
          <w:b/>
          <w:i/>
        </w:rPr>
      </w:pPr>
      <w:r w:rsidRPr="00A43174">
        <w:rPr>
          <w:b/>
          <w:i/>
        </w:rPr>
        <w:t xml:space="preserve">6. </w:t>
      </w:r>
      <w:r w:rsidR="00CF18DC">
        <w:rPr>
          <w:b/>
          <w:i/>
        </w:rPr>
        <w:t>Lượng nhập khẩu được miễn trừ</w:t>
      </w:r>
    </w:p>
    <w:p w:rsidR="00A43174" w:rsidRDefault="00CF18DC" w:rsidP="00707843">
      <w:pPr>
        <w:spacing w:before="120" w:after="120" w:line="312" w:lineRule="auto"/>
        <w:ind w:firstLine="720"/>
        <w:jc w:val="both"/>
      </w:pPr>
      <w:r>
        <w:t>Trên cơ sở cách thức tính toán</w:t>
      </w:r>
      <w:r w:rsidR="00A43174">
        <w:t xml:space="preserve"> dưới đây, các công ty có thể tự tính toán để có cơ sở đề xuất lượng miễn trừ cho doanh nghiệp. Trong trường hợp, Công ty nhận thấy lượng tính toán này chưa đủ so với nhu cầu thực tế của doanh nghiệp, Công ty cần cung cấp các tài liệu và giải trình thêm để Cục Quản lý cạnh tranh xem xét.</w:t>
      </w:r>
    </w:p>
    <w:p w:rsidR="00A43174" w:rsidRDefault="00A43174" w:rsidP="00707843">
      <w:pPr>
        <w:spacing w:before="120" w:after="120" w:line="312" w:lineRule="auto"/>
        <w:ind w:firstLine="720"/>
        <w:jc w:val="both"/>
      </w:pPr>
      <w:r>
        <w:t>Công thức tạm tính như sau:</w:t>
      </w:r>
    </w:p>
    <w:p w:rsidR="00CF18DC" w:rsidRPr="00AF25C9" w:rsidRDefault="00CF18DC" w:rsidP="001A4CB4">
      <w:pPr>
        <w:spacing w:before="120" w:after="120" w:line="312" w:lineRule="auto"/>
        <w:jc w:val="both"/>
      </w:pPr>
      <w:r w:rsidRPr="00AF25C9">
        <w:rPr>
          <w:b/>
        </w:rPr>
        <w:t>Lượng miễn trừ dự kiến</w:t>
      </w:r>
      <w:r w:rsidRPr="00AF25C9">
        <w:t xml:space="preserve"> = Định mức t</w:t>
      </w:r>
      <w:r w:rsidR="001A4CB4" w:rsidRPr="00AF25C9">
        <w:t xml:space="preserve">iêu hao </w:t>
      </w:r>
      <w:r w:rsidR="00AF25C9">
        <w:t>nguyên vật liệu</w:t>
      </w:r>
      <w:r w:rsidR="001A4CB4" w:rsidRPr="00AF25C9">
        <w:t xml:space="preserve"> x Sản lượng </w:t>
      </w:r>
      <w:r w:rsidR="00AF25C9">
        <w:t>sản xuất</w:t>
      </w:r>
      <w:r w:rsidRPr="00AF25C9">
        <w:t xml:space="preserve"> năm 2016</w:t>
      </w:r>
      <w:r w:rsidR="005875DD" w:rsidRPr="00AF25C9">
        <w:t xml:space="preserve"> x Tỷ lệ gia tăng sản lượng 2017</w:t>
      </w:r>
      <w:r w:rsidR="00672BB1">
        <w:t>*</w:t>
      </w:r>
    </w:p>
    <w:p w:rsidR="005875DD" w:rsidRPr="00AF25C9" w:rsidRDefault="005875DD" w:rsidP="001A4CB4">
      <w:pPr>
        <w:spacing w:before="120" w:after="120" w:line="312" w:lineRule="auto"/>
        <w:jc w:val="both"/>
      </w:pPr>
      <w:r w:rsidRPr="00AF25C9">
        <w:rPr>
          <w:b/>
          <w:noProof/>
        </w:rPr>
        <mc:AlternateContent>
          <mc:Choice Requires="wps">
            <w:drawing>
              <wp:anchor distT="0" distB="0" distL="114300" distR="114300" simplePos="0" relativeHeight="251659264" behindDoc="0" locked="0" layoutInCell="1" allowOverlap="1">
                <wp:simplePos x="0" y="0"/>
                <wp:positionH relativeFrom="column">
                  <wp:posOffset>2300605</wp:posOffset>
                </wp:positionH>
                <wp:positionV relativeFrom="paragraph">
                  <wp:posOffset>277495</wp:posOffset>
                </wp:positionV>
                <wp:extent cx="3362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33623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B97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15pt,21.85pt" to="445.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Dy2gEAABAEAAAOAAAAZHJzL2Uyb0RvYy54bWysU8GO2yAQvVfqPyDujZ1EWXWtOHvIanup&#10;2qjbfgCLIUYCBg00dv6+A06cVVtVatULZmDm8d6b8fZhdJadFEYDvuXLRc2Z8hI6448t//b16d17&#10;zmISvhMWvGr5WUX+sHv7ZjuERq2gB9spZATiYzOElvcphaaqouyVE3EBQXm61IBOJArxWHUoBkJ3&#10;tlrV9V01AHYBQaoY6fRxuuS7gq+1kumz1lElZltO3FJZsawvea12W9EcUYTeyAsN8Q8snDCeHp2h&#10;HkUS7DuaX6CckQgRdFpIcBVobaQqGkjNsv5JzXMvgipayJwYZpvi/4OVn04HZKaj3nHmhaMWPScU&#10;5tgntgfvyUBAtsw+DSE2lL73B7xEMRwwix41uvwlOWws3p5nb9WYmKTD9fputV5tOJN0d7+hHYFU&#10;t9qAMX1Q4FjetNwan5WLRpw+xjSlXlPysfVsIM739aYuaRGs6Z6MtfmyTI/aW2QnQX1PY+FPj73K&#10;osh6YpBVTTrKLp2tmvC/KE2+EPPl9ECeyBumkFL5dMW1nrJzmSYGc+GF2Z8KL/m5VJVp/ZviuaK8&#10;DD7Nxc54wN/Rvlmhp/yrA5PubMELdOfS4WINjV1p0+UXyXP9Oi7ltx959wMAAP//AwBQSwMEFAAG&#10;AAgAAAAhACGh3DHcAAAACQEAAA8AAABkcnMvZG93bnJldi54bWxMj0FuwjAQRfeVuIM1lbqJikMC&#10;FNI4CEXiAAUOYOIhibDHUWwgvX2nq3Y5M///eb/cTc6KB46h96RgMU9BIDXe9NQqOJ8O7xsQIWoy&#10;2npCBd8YYFfNXkpdGP+kL3wcYys4hEKhFXQxDoWUoenQ6TD3AxLfrn50OvI4ttKM+snhzsosTdfS&#10;6Z74Q6cHrDtsbse7Y4y6PicBDzZPTs01WU6rzIZBqbfXaf8JIuIU/8Twi88eqJjp4u9kgrAK8nWW&#10;s1TBMv8AwYLNdsFdLrxYZSCrUv5vUP0AAAD//wMAUEsBAi0AFAAGAAgAAAAhALaDOJL+AAAA4QEA&#10;ABMAAAAAAAAAAAAAAAAAAAAAAFtDb250ZW50X1R5cGVzXS54bWxQSwECLQAUAAYACAAAACEAOP0h&#10;/9YAAACUAQAACwAAAAAAAAAAAAAAAAAvAQAAX3JlbHMvLnJlbHNQSwECLQAUAAYACAAAACEAbguQ&#10;8toBAAAQBAAADgAAAAAAAAAAAAAAAAAuAgAAZHJzL2Uyb0RvYy54bWxQSwECLQAUAAYACAAAACEA&#10;IaHcMdwAAAAJAQAADwAAAAAAAAAAAAAAAAA0BAAAZHJzL2Rvd25yZXYueG1sUEsFBgAAAAAEAAQA&#10;8wAAAD0FAAAAAA==&#10;" strokecolor="black [3213]" strokeweight="1.5pt"/>
            </w:pict>
          </mc:Fallback>
        </mc:AlternateContent>
      </w:r>
      <w:r w:rsidR="00672BB1">
        <w:rPr>
          <w:b/>
        </w:rPr>
        <w:t xml:space="preserve">* </w:t>
      </w:r>
      <w:r w:rsidRPr="00AF25C9">
        <w:rPr>
          <w:b/>
        </w:rPr>
        <w:t>Tỷ lệ gia tăng sản lượng 2017</w:t>
      </w:r>
      <w:r w:rsidRPr="00AF25C9">
        <w:t xml:space="preserve"> =  Kế hoạch s</w:t>
      </w:r>
      <w:r w:rsidR="00AF25C9">
        <w:t>ản xuất</w:t>
      </w:r>
      <w:r w:rsidRPr="00AF25C9">
        <w:t xml:space="preserve"> 2017 –  Sản lượng </w:t>
      </w:r>
      <w:r w:rsidR="00AF25C9">
        <w:t>sản xuất</w:t>
      </w:r>
      <w:r w:rsidRPr="00AF25C9">
        <w:t xml:space="preserve"> 2016</w:t>
      </w:r>
    </w:p>
    <w:p w:rsidR="009514AC" w:rsidRPr="00AF25C9" w:rsidRDefault="005875DD" w:rsidP="005875DD">
      <w:pPr>
        <w:spacing w:before="120" w:after="120" w:line="312" w:lineRule="auto"/>
        <w:ind w:firstLine="720"/>
        <w:jc w:val="both"/>
      </w:pPr>
      <w:r w:rsidRPr="00AF25C9">
        <w:t xml:space="preserve">                                          </w:t>
      </w:r>
      <w:r w:rsidR="001A4CB4" w:rsidRPr="00AF25C9">
        <w:t xml:space="preserve">                        </w:t>
      </w:r>
      <w:r w:rsidRPr="00AF25C9">
        <w:t>Sản lượng s</w:t>
      </w:r>
      <w:r w:rsidR="00AF25C9">
        <w:t>ản xuất</w:t>
      </w:r>
      <w:r w:rsidRPr="00AF25C9">
        <w:t xml:space="preserve"> 2016</w:t>
      </w:r>
    </w:p>
    <w:p w:rsidR="001A4CB4" w:rsidRPr="001A4CB4" w:rsidRDefault="001A4CB4" w:rsidP="005875DD">
      <w:pPr>
        <w:spacing w:before="120" w:after="120" w:line="312" w:lineRule="auto"/>
        <w:ind w:firstLine="720"/>
        <w:jc w:val="both"/>
        <w:rPr>
          <w:sz w:val="20"/>
          <w:szCs w:val="20"/>
        </w:rPr>
      </w:pPr>
    </w:p>
    <w:p w:rsidR="009514AC" w:rsidRPr="009514AC" w:rsidRDefault="00226126" w:rsidP="009514AC">
      <w:pPr>
        <w:spacing w:before="120" w:after="120" w:line="312" w:lineRule="auto"/>
        <w:jc w:val="both"/>
        <w:rPr>
          <w:i/>
        </w:rPr>
      </w:pPr>
      <w:r w:rsidRPr="00672BB1">
        <w:rPr>
          <w:b/>
          <w:i/>
          <w:u w:val="single"/>
        </w:rPr>
        <w:t>Lưu ý:</w:t>
      </w:r>
      <w:r>
        <w:rPr>
          <w:i/>
        </w:rPr>
        <w:t xml:space="preserve"> t</w:t>
      </w:r>
      <w:r w:rsidR="009514AC" w:rsidRPr="009514AC">
        <w:rPr>
          <w:i/>
        </w:rPr>
        <w:t>ất cả các tài liệu, giấy tờ cung cấp trong Hồ sơ yêu cầu cần được ký và đóng dấu của Công ty hoặc cơ quan chức năng có thẩm quyền.</w:t>
      </w:r>
    </w:p>
    <w:sectPr w:rsidR="009514AC" w:rsidRPr="009514AC" w:rsidSect="00C9580E">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F7" w:rsidRDefault="006C51F7" w:rsidP="008A5D69">
      <w:r>
        <w:separator/>
      </w:r>
    </w:p>
  </w:endnote>
  <w:endnote w:type="continuationSeparator" w:id="0">
    <w:p w:rsidR="006C51F7" w:rsidRDefault="006C51F7" w:rsidP="008A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891448"/>
      <w:docPartObj>
        <w:docPartGallery w:val="Page Numbers (Bottom of Page)"/>
        <w:docPartUnique/>
      </w:docPartObj>
    </w:sdtPr>
    <w:sdtEndPr>
      <w:rPr>
        <w:noProof/>
      </w:rPr>
    </w:sdtEndPr>
    <w:sdtContent>
      <w:p w:rsidR="00070EBB" w:rsidRDefault="00070EBB">
        <w:pPr>
          <w:pStyle w:val="Footer"/>
          <w:jc w:val="center"/>
        </w:pPr>
        <w:r>
          <w:fldChar w:fldCharType="begin"/>
        </w:r>
        <w:r>
          <w:instrText xml:space="preserve"> PAGE   \* MERGEFORMAT </w:instrText>
        </w:r>
        <w:r>
          <w:fldChar w:fldCharType="separate"/>
        </w:r>
        <w:r w:rsidR="005C54D0">
          <w:rPr>
            <w:noProof/>
          </w:rPr>
          <w:t>1</w:t>
        </w:r>
        <w:r>
          <w:rPr>
            <w:noProof/>
          </w:rPr>
          <w:fldChar w:fldCharType="end"/>
        </w:r>
      </w:p>
    </w:sdtContent>
  </w:sdt>
  <w:p w:rsidR="00E16E49" w:rsidRDefault="00E16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F7" w:rsidRDefault="006C51F7" w:rsidP="008A5D69">
      <w:r>
        <w:separator/>
      </w:r>
    </w:p>
  </w:footnote>
  <w:footnote w:type="continuationSeparator" w:id="0">
    <w:p w:rsidR="006C51F7" w:rsidRDefault="006C51F7" w:rsidP="008A5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40D37"/>
    <w:multiLevelType w:val="hybridMultilevel"/>
    <w:tmpl w:val="FFD8C3B2"/>
    <w:lvl w:ilvl="0" w:tplc="1D0A6700">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50A4A"/>
    <w:multiLevelType w:val="hybridMultilevel"/>
    <w:tmpl w:val="846C92E4"/>
    <w:lvl w:ilvl="0" w:tplc="4858E75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3F702B3"/>
    <w:multiLevelType w:val="hybridMultilevel"/>
    <w:tmpl w:val="93B28A00"/>
    <w:lvl w:ilvl="0" w:tplc="F1D081CA">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723B9"/>
    <w:multiLevelType w:val="hybridMultilevel"/>
    <w:tmpl w:val="41B6318C"/>
    <w:lvl w:ilvl="0" w:tplc="5E764B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FF74BF"/>
    <w:multiLevelType w:val="hybridMultilevel"/>
    <w:tmpl w:val="48DEF4BE"/>
    <w:lvl w:ilvl="0" w:tplc="A64C418A">
      <w:numFmt w:val="decimal"/>
      <w:lvlText w:val="%1."/>
      <w:lvlJc w:val="left"/>
      <w:pPr>
        <w:tabs>
          <w:tab w:val="num" w:pos="1620"/>
        </w:tabs>
        <w:ind w:left="1620" w:hanging="90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8113206"/>
    <w:multiLevelType w:val="hybridMultilevel"/>
    <w:tmpl w:val="5018361A"/>
    <w:lvl w:ilvl="0" w:tplc="4D5C4A8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769B2"/>
    <w:multiLevelType w:val="hybridMultilevel"/>
    <w:tmpl w:val="BF36EF76"/>
    <w:lvl w:ilvl="0" w:tplc="A12C837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3DEC4667"/>
    <w:multiLevelType w:val="hybridMultilevel"/>
    <w:tmpl w:val="28D4B72E"/>
    <w:lvl w:ilvl="0" w:tplc="C798AC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26780B"/>
    <w:multiLevelType w:val="hybridMultilevel"/>
    <w:tmpl w:val="55004538"/>
    <w:lvl w:ilvl="0" w:tplc="954E454E">
      <w:start w:val="27"/>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E64F7"/>
    <w:multiLevelType w:val="multilevel"/>
    <w:tmpl w:val="CD4ED312"/>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BED7A6B"/>
    <w:multiLevelType w:val="hybridMultilevel"/>
    <w:tmpl w:val="21E26708"/>
    <w:lvl w:ilvl="0" w:tplc="2BDAA91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2C7CE4"/>
    <w:multiLevelType w:val="hybridMultilevel"/>
    <w:tmpl w:val="D31A24F0"/>
    <w:lvl w:ilvl="0" w:tplc="4C5AA7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C707A57"/>
    <w:multiLevelType w:val="hybridMultilevel"/>
    <w:tmpl w:val="10FAAC56"/>
    <w:lvl w:ilvl="0" w:tplc="F18C11B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588567C"/>
    <w:multiLevelType w:val="hybridMultilevel"/>
    <w:tmpl w:val="3850CB5A"/>
    <w:lvl w:ilvl="0" w:tplc="E4B246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456521C"/>
    <w:multiLevelType w:val="hybridMultilevel"/>
    <w:tmpl w:val="DE22687A"/>
    <w:lvl w:ilvl="0" w:tplc="67905AB0">
      <w:start w:val="1"/>
      <w:numFmt w:val="decimal"/>
      <w:lvlText w:val="%1."/>
      <w:lvlJc w:val="left"/>
      <w:pPr>
        <w:ind w:left="1440" w:hanging="360"/>
      </w:pPr>
      <w:rPr>
        <w:rFonts w:ascii="Times New Roman" w:hAnsi="Times New Roman" w:cs="Times New Roman" w:hint="default"/>
        <w:b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4A078DA"/>
    <w:multiLevelType w:val="hybridMultilevel"/>
    <w:tmpl w:val="06BEEFC6"/>
    <w:lvl w:ilvl="0" w:tplc="C798AC5C">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4"/>
  </w:num>
  <w:num w:numId="2">
    <w:abstractNumId w:val="3"/>
  </w:num>
  <w:num w:numId="3">
    <w:abstractNumId w:val="7"/>
  </w:num>
  <w:num w:numId="4">
    <w:abstractNumId w:val="15"/>
  </w:num>
  <w:num w:numId="5">
    <w:abstractNumId w:val="10"/>
  </w:num>
  <w:num w:numId="6">
    <w:abstractNumId w:val="5"/>
  </w:num>
  <w:num w:numId="7">
    <w:abstractNumId w:val="12"/>
  </w:num>
  <w:num w:numId="8">
    <w:abstractNumId w:val="9"/>
  </w:num>
  <w:num w:numId="9">
    <w:abstractNumId w:val="13"/>
  </w:num>
  <w:num w:numId="10">
    <w:abstractNumId w:val="1"/>
  </w:num>
  <w:num w:numId="11">
    <w:abstractNumId w:val="11"/>
  </w:num>
  <w:num w:numId="12">
    <w:abstractNumId w:val="6"/>
  </w:num>
  <w:num w:numId="13">
    <w:abstractNumId w:val="14"/>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30"/>
    <w:rsid w:val="000003B7"/>
    <w:rsid w:val="0000132B"/>
    <w:rsid w:val="00004F8E"/>
    <w:rsid w:val="0000500A"/>
    <w:rsid w:val="0000546E"/>
    <w:rsid w:val="00014AFE"/>
    <w:rsid w:val="0003352F"/>
    <w:rsid w:val="00044C38"/>
    <w:rsid w:val="0005229D"/>
    <w:rsid w:val="0006084F"/>
    <w:rsid w:val="00060B4C"/>
    <w:rsid w:val="00066073"/>
    <w:rsid w:val="00070EBB"/>
    <w:rsid w:val="000813D4"/>
    <w:rsid w:val="00083064"/>
    <w:rsid w:val="00091716"/>
    <w:rsid w:val="00094A6A"/>
    <w:rsid w:val="00097E65"/>
    <w:rsid w:val="000A418F"/>
    <w:rsid w:val="000A6785"/>
    <w:rsid w:val="000B1894"/>
    <w:rsid w:val="000B2DA9"/>
    <w:rsid w:val="000B54C4"/>
    <w:rsid w:val="000B6D6C"/>
    <w:rsid w:val="000B78DE"/>
    <w:rsid w:val="000C2FC3"/>
    <w:rsid w:val="000C53C5"/>
    <w:rsid w:val="000C70F2"/>
    <w:rsid w:val="000D380C"/>
    <w:rsid w:val="000E00AF"/>
    <w:rsid w:val="000E12EB"/>
    <w:rsid w:val="000E2A31"/>
    <w:rsid w:val="000E3815"/>
    <w:rsid w:val="000F3B9D"/>
    <w:rsid w:val="000F7CC0"/>
    <w:rsid w:val="001221D2"/>
    <w:rsid w:val="00133A01"/>
    <w:rsid w:val="00134027"/>
    <w:rsid w:val="00140D19"/>
    <w:rsid w:val="001566AC"/>
    <w:rsid w:val="00163BD8"/>
    <w:rsid w:val="00170A9C"/>
    <w:rsid w:val="00172A2D"/>
    <w:rsid w:val="00173744"/>
    <w:rsid w:val="001850B6"/>
    <w:rsid w:val="00197F24"/>
    <w:rsid w:val="001A0ED2"/>
    <w:rsid w:val="001A112B"/>
    <w:rsid w:val="001A4C83"/>
    <w:rsid w:val="001A4CB4"/>
    <w:rsid w:val="001A7378"/>
    <w:rsid w:val="001B2AF6"/>
    <w:rsid w:val="001B4725"/>
    <w:rsid w:val="001B5621"/>
    <w:rsid w:val="001C58D0"/>
    <w:rsid w:val="001D13FB"/>
    <w:rsid w:val="001E01C6"/>
    <w:rsid w:val="001E12AD"/>
    <w:rsid w:val="001E2805"/>
    <w:rsid w:val="001F2521"/>
    <w:rsid w:val="001F3133"/>
    <w:rsid w:val="001F370D"/>
    <w:rsid w:val="001F38BF"/>
    <w:rsid w:val="00206916"/>
    <w:rsid w:val="00214FE5"/>
    <w:rsid w:val="00222990"/>
    <w:rsid w:val="002244F3"/>
    <w:rsid w:val="00226126"/>
    <w:rsid w:val="0022690B"/>
    <w:rsid w:val="00227620"/>
    <w:rsid w:val="002357E9"/>
    <w:rsid w:val="0024355B"/>
    <w:rsid w:val="002512A1"/>
    <w:rsid w:val="00253AC5"/>
    <w:rsid w:val="00257206"/>
    <w:rsid w:val="00263FB2"/>
    <w:rsid w:val="0026747E"/>
    <w:rsid w:val="00280B11"/>
    <w:rsid w:val="00281A26"/>
    <w:rsid w:val="002833E0"/>
    <w:rsid w:val="00291D19"/>
    <w:rsid w:val="002938FD"/>
    <w:rsid w:val="00293EE1"/>
    <w:rsid w:val="002967F5"/>
    <w:rsid w:val="002A7429"/>
    <w:rsid w:val="002C5328"/>
    <w:rsid w:val="002D7973"/>
    <w:rsid w:val="002E5138"/>
    <w:rsid w:val="002E5DFA"/>
    <w:rsid w:val="00311494"/>
    <w:rsid w:val="00350964"/>
    <w:rsid w:val="00350E3E"/>
    <w:rsid w:val="00374D42"/>
    <w:rsid w:val="00383017"/>
    <w:rsid w:val="00393B42"/>
    <w:rsid w:val="00397E89"/>
    <w:rsid w:val="003A1923"/>
    <w:rsid w:val="003A792E"/>
    <w:rsid w:val="003B2F98"/>
    <w:rsid w:val="003B4265"/>
    <w:rsid w:val="003C04D8"/>
    <w:rsid w:val="003C38F0"/>
    <w:rsid w:val="003D15EE"/>
    <w:rsid w:val="003D4B01"/>
    <w:rsid w:val="003E6204"/>
    <w:rsid w:val="003F06B2"/>
    <w:rsid w:val="003F1E7C"/>
    <w:rsid w:val="003F5CDB"/>
    <w:rsid w:val="00411315"/>
    <w:rsid w:val="00417A5F"/>
    <w:rsid w:val="00431FB9"/>
    <w:rsid w:val="0043779D"/>
    <w:rsid w:val="004568D8"/>
    <w:rsid w:val="00461396"/>
    <w:rsid w:val="004733DC"/>
    <w:rsid w:val="00485ED4"/>
    <w:rsid w:val="004973B1"/>
    <w:rsid w:val="004A47D0"/>
    <w:rsid w:val="004B2B99"/>
    <w:rsid w:val="004B315A"/>
    <w:rsid w:val="004C7ADA"/>
    <w:rsid w:val="004D2AF5"/>
    <w:rsid w:val="004D4403"/>
    <w:rsid w:val="004D5895"/>
    <w:rsid w:val="004E19C0"/>
    <w:rsid w:val="004E4469"/>
    <w:rsid w:val="004E6280"/>
    <w:rsid w:val="004E731A"/>
    <w:rsid w:val="004E78B3"/>
    <w:rsid w:val="004F181D"/>
    <w:rsid w:val="005053D6"/>
    <w:rsid w:val="00532E32"/>
    <w:rsid w:val="00533EAC"/>
    <w:rsid w:val="00534A51"/>
    <w:rsid w:val="00540965"/>
    <w:rsid w:val="00541A16"/>
    <w:rsid w:val="00541B57"/>
    <w:rsid w:val="00545039"/>
    <w:rsid w:val="005558D2"/>
    <w:rsid w:val="00565662"/>
    <w:rsid w:val="00572BC8"/>
    <w:rsid w:val="005737ED"/>
    <w:rsid w:val="00583C14"/>
    <w:rsid w:val="005875DD"/>
    <w:rsid w:val="005876D9"/>
    <w:rsid w:val="00590AD1"/>
    <w:rsid w:val="00596EB4"/>
    <w:rsid w:val="005B7412"/>
    <w:rsid w:val="005C54D0"/>
    <w:rsid w:val="005C7B6B"/>
    <w:rsid w:val="005E74F3"/>
    <w:rsid w:val="005F6083"/>
    <w:rsid w:val="006002A7"/>
    <w:rsid w:val="00600F62"/>
    <w:rsid w:val="00606738"/>
    <w:rsid w:val="006072A8"/>
    <w:rsid w:val="00611A00"/>
    <w:rsid w:val="0063066F"/>
    <w:rsid w:val="00632C54"/>
    <w:rsid w:val="006440F1"/>
    <w:rsid w:val="00651F93"/>
    <w:rsid w:val="00661ED4"/>
    <w:rsid w:val="00672BB1"/>
    <w:rsid w:val="00675154"/>
    <w:rsid w:val="00676BF2"/>
    <w:rsid w:val="00682271"/>
    <w:rsid w:val="006845AA"/>
    <w:rsid w:val="00694298"/>
    <w:rsid w:val="006C02A5"/>
    <w:rsid w:val="006C1001"/>
    <w:rsid w:val="006C51F7"/>
    <w:rsid w:val="006D50E6"/>
    <w:rsid w:val="006E33DE"/>
    <w:rsid w:val="006E5B92"/>
    <w:rsid w:val="006E62AC"/>
    <w:rsid w:val="006F076E"/>
    <w:rsid w:val="00706339"/>
    <w:rsid w:val="00706B90"/>
    <w:rsid w:val="00706CB7"/>
    <w:rsid w:val="00707843"/>
    <w:rsid w:val="007132D1"/>
    <w:rsid w:val="00716246"/>
    <w:rsid w:val="00723645"/>
    <w:rsid w:val="0074205A"/>
    <w:rsid w:val="0075005C"/>
    <w:rsid w:val="0076080F"/>
    <w:rsid w:val="00763FED"/>
    <w:rsid w:val="0078048A"/>
    <w:rsid w:val="00790730"/>
    <w:rsid w:val="007A4701"/>
    <w:rsid w:val="007B2713"/>
    <w:rsid w:val="007B69A2"/>
    <w:rsid w:val="007D6145"/>
    <w:rsid w:val="007E73F5"/>
    <w:rsid w:val="00815950"/>
    <w:rsid w:val="00816F0F"/>
    <w:rsid w:val="00820226"/>
    <w:rsid w:val="00823CDB"/>
    <w:rsid w:val="008371D1"/>
    <w:rsid w:val="008521C0"/>
    <w:rsid w:val="00864B36"/>
    <w:rsid w:val="00872BCA"/>
    <w:rsid w:val="00873683"/>
    <w:rsid w:val="008849E9"/>
    <w:rsid w:val="00887E0E"/>
    <w:rsid w:val="00894E1A"/>
    <w:rsid w:val="008A038B"/>
    <w:rsid w:val="008A5A50"/>
    <w:rsid w:val="008A5D69"/>
    <w:rsid w:val="008A7012"/>
    <w:rsid w:val="008A7422"/>
    <w:rsid w:val="008B1AAB"/>
    <w:rsid w:val="008D4278"/>
    <w:rsid w:val="008D43CE"/>
    <w:rsid w:val="008E7CFD"/>
    <w:rsid w:val="008F4830"/>
    <w:rsid w:val="008F5596"/>
    <w:rsid w:val="008F703F"/>
    <w:rsid w:val="008F7E37"/>
    <w:rsid w:val="009051BD"/>
    <w:rsid w:val="00905FFC"/>
    <w:rsid w:val="009067BA"/>
    <w:rsid w:val="009078D9"/>
    <w:rsid w:val="009113D5"/>
    <w:rsid w:val="00912632"/>
    <w:rsid w:val="009162C8"/>
    <w:rsid w:val="00921A33"/>
    <w:rsid w:val="00930E87"/>
    <w:rsid w:val="0093581A"/>
    <w:rsid w:val="00936C8A"/>
    <w:rsid w:val="00937A6A"/>
    <w:rsid w:val="0094060A"/>
    <w:rsid w:val="009418AE"/>
    <w:rsid w:val="00941BA0"/>
    <w:rsid w:val="00941E8B"/>
    <w:rsid w:val="00942FBA"/>
    <w:rsid w:val="00946F3E"/>
    <w:rsid w:val="009507AC"/>
    <w:rsid w:val="009514AC"/>
    <w:rsid w:val="00953C75"/>
    <w:rsid w:val="0096045A"/>
    <w:rsid w:val="00960472"/>
    <w:rsid w:val="00965C0B"/>
    <w:rsid w:val="0097784B"/>
    <w:rsid w:val="009960CF"/>
    <w:rsid w:val="009C1BE2"/>
    <w:rsid w:val="009C2845"/>
    <w:rsid w:val="009C2CCB"/>
    <w:rsid w:val="009C46A3"/>
    <w:rsid w:val="009D0203"/>
    <w:rsid w:val="009D75E9"/>
    <w:rsid w:val="009D7EE9"/>
    <w:rsid w:val="009E0A51"/>
    <w:rsid w:val="009E1E10"/>
    <w:rsid w:val="009F549D"/>
    <w:rsid w:val="00A32F86"/>
    <w:rsid w:val="00A43174"/>
    <w:rsid w:val="00A56E99"/>
    <w:rsid w:val="00A61200"/>
    <w:rsid w:val="00A712D7"/>
    <w:rsid w:val="00A77874"/>
    <w:rsid w:val="00A83264"/>
    <w:rsid w:val="00A97EEB"/>
    <w:rsid w:val="00AA7968"/>
    <w:rsid w:val="00AB030F"/>
    <w:rsid w:val="00AD759D"/>
    <w:rsid w:val="00AE15FE"/>
    <w:rsid w:val="00AE3232"/>
    <w:rsid w:val="00AE4470"/>
    <w:rsid w:val="00AE5273"/>
    <w:rsid w:val="00AE6684"/>
    <w:rsid w:val="00AE6F58"/>
    <w:rsid w:val="00AE6F63"/>
    <w:rsid w:val="00AF09CE"/>
    <w:rsid w:val="00AF25C9"/>
    <w:rsid w:val="00AF4DE5"/>
    <w:rsid w:val="00AF6111"/>
    <w:rsid w:val="00AF76D9"/>
    <w:rsid w:val="00B0042F"/>
    <w:rsid w:val="00B00871"/>
    <w:rsid w:val="00B017F5"/>
    <w:rsid w:val="00B12D61"/>
    <w:rsid w:val="00B142EE"/>
    <w:rsid w:val="00B17E57"/>
    <w:rsid w:val="00B21769"/>
    <w:rsid w:val="00B31E0A"/>
    <w:rsid w:val="00B46CB7"/>
    <w:rsid w:val="00B67DFD"/>
    <w:rsid w:val="00B73159"/>
    <w:rsid w:val="00B807DC"/>
    <w:rsid w:val="00B87FD1"/>
    <w:rsid w:val="00BC15CB"/>
    <w:rsid w:val="00BC265E"/>
    <w:rsid w:val="00BD17FF"/>
    <w:rsid w:val="00BE059C"/>
    <w:rsid w:val="00BE24BB"/>
    <w:rsid w:val="00BE2B57"/>
    <w:rsid w:val="00BF5436"/>
    <w:rsid w:val="00C029A4"/>
    <w:rsid w:val="00C15946"/>
    <w:rsid w:val="00C17F69"/>
    <w:rsid w:val="00C25192"/>
    <w:rsid w:val="00C31107"/>
    <w:rsid w:val="00C40611"/>
    <w:rsid w:val="00C572D7"/>
    <w:rsid w:val="00C625F1"/>
    <w:rsid w:val="00C70B84"/>
    <w:rsid w:val="00C873C2"/>
    <w:rsid w:val="00C917C7"/>
    <w:rsid w:val="00C9524D"/>
    <w:rsid w:val="00C9580E"/>
    <w:rsid w:val="00CB2EDF"/>
    <w:rsid w:val="00CB4081"/>
    <w:rsid w:val="00CC0342"/>
    <w:rsid w:val="00CC7E2E"/>
    <w:rsid w:val="00CE5D1A"/>
    <w:rsid w:val="00CF18DC"/>
    <w:rsid w:val="00CF421F"/>
    <w:rsid w:val="00CF74F1"/>
    <w:rsid w:val="00D12680"/>
    <w:rsid w:val="00D13244"/>
    <w:rsid w:val="00D213FC"/>
    <w:rsid w:val="00D24636"/>
    <w:rsid w:val="00D262F3"/>
    <w:rsid w:val="00D32115"/>
    <w:rsid w:val="00D32980"/>
    <w:rsid w:val="00D37909"/>
    <w:rsid w:val="00D439A5"/>
    <w:rsid w:val="00D45484"/>
    <w:rsid w:val="00D507E8"/>
    <w:rsid w:val="00D50A46"/>
    <w:rsid w:val="00D571B8"/>
    <w:rsid w:val="00D61FDC"/>
    <w:rsid w:val="00D72E12"/>
    <w:rsid w:val="00D7397C"/>
    <w:rsid w:val="00D75C57"/>
    <w:rsid w:val="00D80FBE"/>
    <w:rsid w:val="00D9104C"/>
    <w:rsid w:val="00D936F3"/>
    <w:rsid w:val="00D94CE1"/>
    <w:rsid w:val="00DA0D44"/>
    <w:rsid w:val="00DB6F45"/>
    <w:rsid w:val="00DD5EFC"/>
    <w:rsid w:val="00DE756F"/>
    <w:rsid w:val="00DF70CB"/>
    <w:rsid w:val="00DF7B68"/>
    <w:rsid w:val="00E05D8F"/>
    <w:rsid w:val="00E10B38"/>
    <w:rsid w:val="00E11C9C"/>
    <w:rsid w:val="00E1250C"/>
    <w:rsid w:val="00E16E3F"/>
    <w:rsid w:val="00E16E49"/>
    <w:rsid w:val="00E2402B"/>
    <w:rsid w:val="00E241EE"/>
    <w:rsid w:val="00E34357"/>
    <w:rsid w:val="00E41816"/>
    <w:rsid w:val="00E60FE1"/>
    <w:rsid w:val="00E658B5"/>
    <w:rsid w:val="00E72ECD"/>
    <w:rsid w:val="00E74005"/>
    <w:rsid w:val="00E758CE"/>
    <w:rsid w:val="00E83A45"/>
    <w:rsid w:val="00E84A4D"/>
    <w:rsid w:val="00EC3C41"/>
    <w:rsid w:val="00ED5365"/>
    <w:rsid w:val="00ED617F"/>
    <w:rsid w:val="00EF15CB"/>
    <w:rsid w:val="00EF4613"/>
    <w:rsid w:val="00F24D7E"/>
    <w:rsid w:val="00F267A6"/>
    <w:rsid w:val="00F34A21"/>
    <w:rsid w:val="00F35C0D"/>
    <w:rsid w:val="00F4693B"/>
    <w:rsid w:val="00F4799F"/>
    <w:rsid w:val="00F50D43"/>
    <w:rsid w:val="00F531B4"/>
    <w:rsid w:val="00F6217B"/>
    <w:rsid w:val="00F7377B"/>
    <w:rsid w:val="00F8323D"/>
    <w:rsid w:val="00F916ED"/>
    <w:rsid w:val="00F95C07"/>
    <w:rsid w:val="00FA00C0"/>
    <w:rsid w:val="00FA0CDA"/>
    <w:rsid w:val="00FA6F27"/>
    <w:rsid w:val="00FC1824"/>
    <w:rsid w:val="00FD30B6"/>
    <w:rsid w:val="00FD5BA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5CF419-5FE6-42C8-965F-17F892A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30"/>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FDC"/>
    <w:rPr>
      <w:color w:val="0000FF"/>
      <w:u w:val="single"/>
    </w:rPr>
  </w:style>
  <w:style w:type="paragraph" w:styleId="ListParagraph">
    <w:name w:val="List Paragraph"/>
    <w:basedOn w:val="Normal"/>
    <w:uiPriority w:val="34"/>
    <w:qFormat/>
    <w:rsid w:val="006845AA"/>
    <w:pPr>
      <w:ind w:left="720"/>
      <w:contextualSpacing/>
    </w:pPr>
  </w:style>
  <w:style w:type="paragraph" w:styleId="Header">
    <w:name w:val="header"/>
    <w:basedOn w:val="Normal"/>
    <w:link w:val="HeaderChar"/>
    <w:rsid w:val="008A5D69"/>
    <w:pPr>
      <w:tabs>
        <w:tab w:val="center" w:pos="4680"/>
        <w:tab w:val="right" w:pos="9360"/>
      </w:tabs>
    </w:pPr>
  </w:style>
  <w:style w:type="character" w:customStyle="1" w:styleId="HeaderChar">
    <w:name w:val="Header Char"/>
    <w:basedOn w:val="DefaultParagraphFont"/>
    <w:link w:val="Header"/>
    <w:rsid w:val="008A5D69"/>
    <w:rPr>
      <w:sz w:val="26"/>
      <w:szCs w:val="26"/>
    </w:rPr>
  </w:style>
  <w:style w:type="paragraph" w:styleId="Footer">
    <w:name w:val="footer"/>
    <w:basedOn w:val="Normal"/>
    <w:link w:val="FooterChar"/>
    <w:uiPriority w:val="99"/>
    <w:rsid w:val="008A5D69"/>
    <w:pPr>
      <w:tabs>
        <w:tab w:val="center" w:pos="4680"/>
        <w:tab w:val="right" w:pos="9360"/>
      </w:tabs>
    </w:pPr>
  </w:style>
  <w:style w:type="character" w:customStyle="1" w:styleId="FooterChar">
    <w:name w:val="Footer Char"/>
    <w:basedOn w:val="DefaultParagraphFont"/>
    <w:link w:val="Footer"/>
    <w:uiPriority w:val="99"/>
    <w:rsid w:val="008A5D69"/>
    <w:rPr>
      <w:sz w:val="26"/>
      <w:szCs w:val="26"/>
    </w:rPr>
  </w:style>
  <w:style w:type="paragraph" w:styleId="BalloonText">
    <w:name w:val="Balloon Text"/>
    <w:basedOn w:val="Normal"/>
    <w:link w:val="BalloonTextChar"/>
    <w:rsid w:val="005053D6"/>
    <w:rPr>
      <w:rFonts w:ascii="Tahoma" w:hAnsi="Tahoma" w:cs="Tahoma"/>
      <w:sz w:val="16"/>
      <w:szCs w:val="16"/>
    </w:rPr>
  </w:style>
  <w:style w:type="character" w:customStyle="1" w:styleId="BalloonTextChar">
    <w:name w:val="Balloon Text Char"/>
    <w:basedOn w:val="DefaultParagraphFont"/>
    <w:link w:val="BalloonText"/>
    <w:rsid w:val="005053D6"/>
    <w:rPr>
      <w:rFonts w:ascii="Tahoma" w:hAnsi="Tahoma" w:cs="Tahoma"/>
      <w:sz w:val="16"/>
      <w:szCs w:val="16"/>
    </w:rPr>
  </w:style>
  <w:style w:type="table" w:styleId="TableGrid">
    <w:name w:val="Table Grid"/>
    <w:basedOn w:val="TableNormal"/>
    <w:uiPriority w:val="39"/>
    <w:rsid w:val="008F7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97784B"/>
    <w:rPr>
      <w:sz w:val="20"/>
      <w:szCs w:val="20"/>
    </w:rPr>
  </w:style>
  <w:style w:type="character" w:customStyle="1" w:styleId="FootnoteTextChar">
    <w:name w:val="Footnote Text Char"/>
    <w:basedOn w:val="DefaultParagraphFont"/>
    <w:link w:val="FootnoteText"/>
    <w:semiHidden/>
    <w:rsid w:val="0097784B"/>
  </w:style>
  <w:style w:type="character" w:styleId="FootnoteReference">
    <w:name w:val="footnote reference"/>
    <w:basedOn w:val="DefaultParagraphFont"/>
    <w:semiHidden/>
    <w:unhideWhenUsed/>
    <w:rsid w:val="0097784B"/>
    <w:rPr>
      <w:vertAlign w:val="superscript"/>
    </w:rPr>
  </w:style>
  <w:style w:type="character" w:customStyle="1" w:styleId="apple-converted-space">
    <w:name w:val="apple-converted-space"/>
    <w:basedOn w:val="DefaultParagraphFont"/>
    <w:rsid w:val="00F9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78915">
      <w:bodyDiv w:val="1"/>
      <w:marLeft w:val="0"/>
      <w:marRight w:val="0"/>
      <w:marTop w:val="0"/>
      <w:marBottom w:val="0"/>
      <w:divBdr>
        <w:top w:val="none" w:sz="0" w:space="0" w:color="auto"/>
        <w:left w:val="none" w:sz="0" w:space="0" w:color="auto"/>
        <w:bottom w:val="none" w:sz="0" w:space="0" w:color="auto"/>
        <w:right w:val="none" w:sz="0" w:space="0" w:color="auto"/>
      </w:divBdr>
    </w:div>
    <w:div w:id="19754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lct.gov.vn/NewsDetail.aspx?ID=3646&amp;CateID=5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B88A3-0683-42F6-933D-39E6DE57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BỘ CÔNG THƯƠNG</vt:lpstr>
    </vt:vector>
  </TitlesOfParts>
  <Company/>
  <LinksUpToDate>false</LinksUpToDate>
  <CharactersWithSpaces>4904</CharactersWithSpaces>
  <SharedDoc>false</SharedDoc>
  <HLinks>
    <vt:vector size="12" baseType="variant">
      <vt:variant>
        <vt:i4>7405596</vt:i4>
      </vt:variant>
      <vt:variant>
        <vt:i4>3</vt:i4>
      </vt:variant>
      <vt:variant>
        <vt:i4>0</vt:i4>
      </vt:variant>
      <vt:variant>
        <vt:i4>5</vt:i4>
      </vt:variant>
      <vt:variant>
        <vt:lpwstr>mailto:thanhlk@moit.gov.vn</vt:lpwstr>
      </vt:variant>
      <vt:variant>
        <vt:lpwstr/>
      </vt:variant>
      <vt:variant>
        <vt:i4>6815773</vt:i4>
      </vt:variant>
      <vt:variant>
        <vt:i4>0</vt:i4>
      </vt:variant>
      <vt:variant>
        <vt:i4>0</vt:i4>
      </vt:variant>
      <vt:variant>
        <vt:i4>5</vt:i4>
      </vt:variant>
      <vt:variant>
        <vt:lpwstr>mailto:giangln@moit.gov.vn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quynhgiao</dc:creator>
  <cp:lastModifiedBy>BCT</cp:lastModifiedBy>
  <cp:revision>2</cp:revision>
  <cp:lastPrinted>2017-06-23T08:08:00Z</cp:lastPrinted>
  <dcterms:created xsi:type="dcterms:W3CDTF">2017-06-26T07:13:00Z</dcterms:created>
  <dcterms:modified xsi:type="dcterms:W3CDTF">2017-06-26T07:13:00Z</dcterms:modified>
</cp:coreProperties>
</file>