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F82" w:rsidRDefault="00435F82" w:rsidP="00435F82">
      <w:pPr>
        <w:spacing w:after="240" w:line="276" w:lineRule="auto"/>
        <w:jc w:val="center"/>
        <w:outlineLvl w:val="0"/>
        <w:rPr>
          <w:b/>
          <w:sz w:val="26"/>
          <w:szCs w:val="26"/>
          <w:lang w:val="nl-NL"/>
        </w:rPr>
      </w:pPr>
      <w:r>
        <w:rPr>
          <w:b/>
          <w:sz w:val="26"/>
          <w:szCs w:val="26"/>
          <w:lang w:val="nl-NL"/>
        </w:rPr>
        <w:t>PHỤ LỤC</w:t>
      </w:r>
    </w:p>
    <w:p w:rsidR="00435F82" w:rsidRDefault="00435F82" w:rsidP="00435F82">
      <w:pPr>
        <w:spacing w:after="240" w:line="276" w:lineRule="auto"/>
        <w:jc w:val="center"/>
        <w:outlineLvl w:val="0"/>
        <w:rPr>
          <w:b/>
          <w:sz w:val="26"/>
          <w:szCs w:val="26"/>
          <w:lang w:val="nl-NL"/>
        </w:rPr>
      </w:pPr>
      <w:r>
        <w:rPr>
          <w:b/>
          <w:sz w:val="26"/>
          <w:szCs w:val="26"/>
          <w:lang w:val="nl-NL"/>
        </w:rPr>
        <w:t>HƯỚNG DẪN XÂY DỰNG HỒ SƠ ĐỀ XUẤT NHIỆM VỤ NĂM 2021 THUỘC CHƯƠNG TRÌNH QUỐC GIA VỀ SỬ DỤNG NĂNG LƯỢNG TIẾT KIỆM VÀ HIỆU QUẢ GIAI ĐOẠN 2019-2030</w:t>
      </w:r>
    </w:p>
    <w:p w:rsidR="00435F82" w:rsidRDefault="00435F82" w:rsidP="00435F82">
      <w:pPr>
        <w:spacing w:after="240" w:line="276" w:lineRule="auto"/>
        <w:jc w:val="center"/>
        <w:outlineLvl w:val="0"/>
        <w:rPr>
          <w:sz w:val="26"/>
          <w:szCs w:val="26"/>
          <w:lang w:val="nl-NL"/>
        </w:rPr>
      </w:pPr>
      <w:r w:rsidRPr="001D4EAE">
        <w:rPr>
          <w:sz w:val="26"/>
          <w:szCs w:val="26"/>
          <w:lang w:val="nl-NL"/>
        </w:rPr>
        <w:t>(</w:t>
      </w:r>
      <w:r>
        <w:rPr>
          <w:i/>
          <w:sz w:val="26"/>
          <w:szCs w:val="26"/>
          <w:lang w:val="nl-NL"/>
        </w:rPr>
        <w:t>Kèm theo Công văn số           BCT-TKNL ngày       tháng 4 năm 2020</w:t>
      </w:r>
      <w:r>
        <w:rPr>
          <w:sz w:val="26"/>
          <w:szCs w:val="26"/>
          <w:lang w:val="nl-NL"/>
        </w:rPr>
        <w:t>)</w:t>
      </w:r>
    </w:p>
    <w:p w:rsidR="00435F82" w:rsidRPr="002B36AC" w:rsidRDefault="00435F82" w:rsidP="00435F82">
      <w:pPr>
        <w:spacing w:after="240" w:line="276" w:lineRule="auto"/>
        <w:jc w:val="center"/>
        <w:outlineLvl w:val="0"/>
        <w:rPr>
          <w:b/>
          <w:sz w:val="26"/>
          <w:szCs w:val="26"/>
          <w:lang w:val="nl-NL"/>
        </w:rPr>
      </w:pPr>
      <w:r w:rsidRPr="002B36AC">
        <w:rPr>
          <w:b/>
          <w:sz w:val="26"/>
          <w:szCs w:val="26"/>
          <w:lang w:val="nl-NL"/>
        </w:rPr>
        <w:t>Phụ lục 1. Danh mục đề xuất nhiệm vụ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275"/>
        <w:gridCol w:w="965"/>
        <w:gridCol w:w="971"/>
        <w:gridCol w:w="1093"/>
        <w:gridCol w:w="1148"/>
        <w:gridCol w:w="1091"/>
        <w:gridCol w:w="1221"/>
        <w:gridCol w:w="669"/>
      </w:tblGrid>
      <w:tr w:rsidR="00435F82" w:rsidRPr="00960D4E" w:rsidTr="00F22B98">
        <w:trPr>
          <w:jc w:val="center"/>
        </w:trPr>
        <w:tc>
          <w:tcPr>
            <w:tcW w:w="637" w:type="dxa"/>
            <w:shd w:val="clear" w:color="auto" w:fill="auto"/>
            <w:vAlign w:val="center"/>
          </w:tcPr>
          <w:p w:rsidR="00435F82" w:rsidRPr="00960D4E" w:rsidRDefault="00435F82" w:rsidP="00F22B98">
            <w:pPr>
              <w:spacing w:after="240" w:line="276" w:lineRule="auto"/>
              <w:jc w:val="center"/>
              <w:outlineLvl w:val="0"/>
              <w:rPr>
                <w:b/>
                <w:sz w:val="24"/>
                <w:szCs w:val="26"/>
                <w:lang w:val="nl-NL"/>
              </w:rPr>
            </w:pPr>
            <w:r w:rsidRPr="00960D4E">
              <w:rPr>
                <w:b/>
                <w:sz w:val="24"/>
                <w:szCs w:val="26"/>
                <w:lang w:val="nl-NL"/>
              </w:rPr>
              <w:t>TT</w:t>
            </w:r>
          </w:p>
        </w:tc>
        <w:tc>
          <w:tcPr>
            <w:tcW w:w="1314" w:type="dxa"/>
            <w:shd w:val="clear" w:color="auto" w:fill="auto"/>
            <w:vAlign w:val="center"/>
          </w:tcPr>
          <w:p w:rsidR="00435F82" w:rsidRPr="00960D4E" w:rsidRDefault="00435F82" w:rsidP="00F22B98">
            <w:pPr>
              <w:spacing w:after="240" w:line="276" w:lineRule="auto"/>
              <w:jc w:val="center"/>
              <w:outlineLvl w:val="0"/>
              <w:rPr>
                <w:b/>
                <w:sz w:val="24"/>
                <w:szCs w:val="26"/>
                <w:lang w:val="nl-NL"/>
              </w:rPr>
            </w:pPr>
            <w:r w:rsidRPr="00960D4E">
              <w:rPr>
                <w:b/>
                <w:sz w:val="24"/>
                <w:szCs w:val="26"/>
                <w:lang w:val="nl-NL"/>
              </w:rPr>
              <w:t>Tên nhiệm vụ</w:t>
            </w:r>
          </w:p>
        </w:tc>
        <w:tc>
          <w:tcPr>
            <w:tcW w:w="992" w:type="dxa"/>
            <w:shd w:val="clear" w:color="auto" w:fill="auto"/>
            <w:vAlign w:val="center"/>
          </w:tcPr>
          <w:p w:rsidR="00435F82" w:rsidRPr="00960D4E" w:rsidRDefault="00435F82" w:rsidP="00F22B98">
            <w:pPr>
              <w:spacing w:after="240" w:line="276" w:lineRule="auto"/>
              <w:jc w:val="center"/>
              <w:outlineLvl w:val="0"/>
              <w:rPr>
                <w:b/>
                <w:sz w:val="24"/>
                <w:szCs w:val="26"/>
                <w:lang w:val="nl-NL"/>
              </w:rPr>
            </w:pPr>
            <w:r w:rsidRPr="00960D4E">
              <w:rPr>
                <w:b/>
                <w:sz w:val="24"/>
                <w:szCs w:val="26"/>
                <w:lang w:val="nl-NL"/>
              </w:rPr>
              <w:t>Mục tiêu</w:t>
            </w:r>
          </w:p>
        </w:tc>
        <w:tc>
          <w:tcPr>
            <w:tcW w:w="993" w:type="dxa"/>
            <w:shd w:val="clear" w:color="auto" w:fill="auto"/>
            <w:vAlign w:val="center"/>
          </w:tcPr>
          <w:p w:rsidR="00435F82" w:rsidRPr="00960D4E" w:rsidRDefault="00435F82" w:rsidP="00F22B98">
            <w:pPr>
              <w:spacing w:after="240" w:line="276" w:lineRule="auto"/>
              <w:jc w:val="center"/>
              <w:outlineLvl w:val="0"/>
              <w:rPr>
                <w:b/>
                <w:sz w:val="24"/>
                <w:szCs w:val="26"/>
                <w:lang w:val="nl-NL"/>
              </w:rPr>
            </w:pPr>
            <w:r w:rsidRPr="00960D4E">
              <w:rPr>
                <w:b/>
                <w:sz w:val="24"/>
                <w:szCs w:val="26"/>
                <w:lang w:val="nl-NL"/>
              </w:rPr>
              <w:t>Nội dung</w:t>
            </w:r>
          </w:p>
        </w:tc>
        <w:tc>
          <w:tcPr>
            <w:tcW w:w="1134" w:type="dxa"/>
            <w:shd w:val="clear" w:color="auto" w:fill="auto"/>
            <w:vAlign w:val="center"/>
          </w:tcPr>
          <w:p w:rsidR="00435F82" w:rsidRPr="00960D4E" w:rsidRDefault="00435F82" w:rsidP="00F22B98">
            <w:pPr>
              <w:spacing w:after="240" w:line="276" w:lineRule="auto"/>
              <w:jc w:val="center"/>
              <w:outlineLvl w:val="0"/>
              <w:rPr>
                <w:b/>
                <w:sz w:val="24"/>
                <w:szCs w:val="26"/>
                <w:lang w:val="nl-NL"/>
              </w:rPr>
            </w:pPr>
            <w:r w:rsidRPr="00960D4E">
              <w:rPr>
                <w:b/>
                <w:sz w:val="24"/>
                <w:szCs w:val="26"/>
                <w:lang w:val="nl-NL"/>
              </w:rPr>
              <w:t>Kết quả dự kiến</w:t>
            </w:r>
          </w:p>
        </w:tc>
        <w:tc>
          <w:tcPr>
            <w:tcW w:w="1187" w:type="dxa"/>
            <w:shd w:val="clear" w:color="auto" w:fill="auto"/>
            <w:vAlign w:val="center"/>
          </w:tcPr>
          <w:p w:rsidR="00435F82" w:rsidRPr="00960D4E" w:rsidRDefault="00435F82" w:rsidP="00F22B98">
            <w:pPr>
              <w:spacing w:after="240" w:line="276" w:lineRule="auto"/>
              <w:jc w:val="center"/>
              <w:outlineLvl w:val="0"/>
              <w:rPr>
                <w:b/>
                <w:sz w:val="24"/>
                <w:szCs w:val="26"/>
                <w:lang w:val="nl-NL"/>
              </w:rPr>
            </w:pPr>
            <w:r w:rsidRPr="00960D4E">
              <w:rPr>
                <w:b/>
                <w:sz w:val="24"/>
                <w:szCs w:val="26"/>
                <w:lang w:val="nl-NL"/>
              </w:rPr>
              <w:t>Thời gian thực hiện</w:t>
            </w:r>
            <w:r w:rsidRPr="00960D4E">
              <w:rPr>
                <w:rStyle w:val="FootnoteReference"/>
                <w:b/>
                <w:sz w:val="24"/>
                <w:szCs w:val="26"/>
                <w:lang w:val="nl-NL"/>
              </w:rPr>
              <w:footnoteReference w:id="1"/>
            </w:r>
          </w:p>
        </w:tc>
        <w:tc>
          <w:tcPr>
            <w:tcW w:w="1113" w:type="dxa"/>
            <w:shd w:val="clear" w:color="auto" w:fill="auto"/>
            <w:vAlign w:val="center"/>
          </w:tcPr>
          <w:p w:rsidR="00435F82" w:rsidRPr="00960D4E" w:rsidRDefault="00435F82" w:rsidP="00F22B98">
            <w:pPr>
              <w:spacing w:after="240" w:line="276" w:lineRule="auto"/>
              <w:jc w:val="center"/>
              <w:outlineLvl w:val="0"/>
              <w:rPr>
                <w:b/>
                <w:sz w:val="24"/>
                <w:szCs w:val="26"/>
                <w:lang w:val="nl-NL"/>
              </w:rPr>
            </w:pPr>
            <w:r w:rsidRPr="00960D4E">
              <w:rPr>
                <w:b/>
                <w:sz w:val="24"/>
                <w:szCs w:val="26"/>
                <w:lang w:val="nl-NL"/>
              </w:rPr>
              <w:t>Kinh phí dự kiến (</w:t>
            </w:r>
            <w:r w:rsidRPr="00960D4E">
              <w:rPr>
                <w:i/>
                <w:sz w:val="24"/>
                <w:szCs w:val="26"/>
                <w:lang w:val="nl-NL"/>
              </w:rPr>
              <w:t>triệu đồng</w:t>
            </w:r>
            <w:r w:rsidRPr="00960D4E">
              <w:rPr>
                <w:b/>
                <w:sz w:val="24"/>
                <w:szCs w:val="26"/>
                <w:lang w:val="nl-NL"/>
              </w:rPr>
              <w:t>)</w:t>
            </w:r>
            <w:r w:rsidRPr="00960D4E">
              <w:rPr>
                <w:rStyle w:val="FootnoteReference"/>
                <w:b/>
                <w:sz w:val="24"/>
                <w:szCs w:val="26"/>
                <w:lang w:val="nl-NL"/>
              </w:rPr>
              <w:footnoteReference w:id="2"/>
            </w:r>
          </w:p>
        </w:tc>
        <w:tc>
          <w:tcPr>
            <w:tcW w:w="1243" w:type="dxa"/>
            <w:shd w:val="clear" w:color="auto" w:fill="auto"/>
            <w:vAlign w:val="center"/>
          </w:tcPr>
          <w:p w:rsidR="00435F82" w:rsidRPr="00960D4E" w:rsidRDefault="00435F82" w:rsidP="00F22B98">
            <w:pPr>
              <w:spacing w:after="240" w:line="276" w:lineRule="auto"/>
              <w:jc w:val="center"/>
              <w:outlineLvl w:val="0"/>
              <w:rPr>
                <w:b/>
                <w:sz w:val="24"/>
                <w:szCs w:val="26"/>
                <w:lang w:val="nl-NL"/>
              </w:rPr>
            </w:pPr>
            <w:r w:rsidRPr="00960D4E">
              <w:rPr>
                <w:b/>
                <w:sz w:val="24"/>
                <w:szCs w:val="26"/>
                <w:lang w:val="nl-NL"/>
              </w:rPr>
              <w:t>Đơn vị chủ trì/phối hợp</w:t>
            </w:r>
          </w:p>
        </w:tc>
        <w:tc>
          <w:tcPr>
            <w:tcW w:w="675" w:type="dxa"/>
            <w:shd w:val="clear" w:color="auto" w:fill="auto"/>
            <w:vAlign w:val="center"/>
          </w:tcPr>
          <w:p w:rsidR="00435F82" w:rsidRPr="00960D4E" w:rsidRDefault="00435F82" w:rsidP="00F22B98">
            <w:pPr>
              <w:spacing w:after="240" w:line="276" w:lineRule="auto"/>
              <w:jc w:val="center"/>
              <w:outlineLvl w:val="0"/>
              <w:rPr>
                <w:b/>
                <w:sz w:val="24"/>
                <w:szCs w:val="26"/>
                <w:lang w:val="nl-NL"/>
              </w:rPr>
            </w:pPr>
            <w:r w:rsidRPr="00960D4E">
              <w:rPr>
                <w:b/>
                <w:sz w:val="24"/>
                <w:szCs w:val="26"/>
                <w:lang w:val="nl-NL"/>
              </w:rPr>
              <w:t>Ghi chú</w:t>
            </w:r>
          </w:p>
        </w:tc>
      </w:tr>
      <w:tr w:rsidR="00435F82" w:rsidRPr="00960D4E" w:rsidTr="00F22B98">
        <w:trPr>
          <w:jc w:val="center"/>
        </w:trPr>
        <w:tc>
          <w:tcPr>
            <w:tcW w:w="637" w:type="dxa"/>
            <w:shd w:val="clear" w:color="auto" w:fill="auto"/>
            <w:vAlign w:val="center"/>
          </w:tcPr>
          <w:p w:rsidR="00435F82" w:rsidRPr="00960D4E" w:rsidRDefault="00435F82" w:rsidP="00F22B98">
            <w:pPr>
              <w:spacing w:after="240" w:line="276" w:lineRule="auto"/>
              <w:jc w:val="both"/>
              <w:outlineLvl w:val="0"/>
              <w:rPr>
                <w:sz w:val="26"/>
                <w:szCs w:val="26"/>
                <w:lang w:val="nl-NL"/>
              </w:rPr>
            </w:pPr>
            <w:r w:rsidRPr="00960D4E">
              <w:rPr>
                <w:sz w:val="26"/>
                <w:szCs w:val="26"/>
                <w:lang w:val="nl-NL"/>
              </w:rPr>
              <w:t>1.</w:t>
            </w:r>
          </w:p>
        </w:tc>
        <w:tc>
          <w:tcPr>
            <w:tcW w:w="1314"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c>
          <w:tcPr>
            <w:tcW w:w="992"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c>
          <w:tcPr>
            <w:tcW w:w="993"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c>
          <w:tcPr>
            <w:tcW w:w="1134"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c>
          <w:tcPr>
            <w:tcW w:w="1187"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c>
          <w:tcPr>
            <w:tcW w:w="1113"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c>
          <w:tcPr>
            <w:tcW w:w="1243"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c>
          <w:tcPr>
            <w:tcW w:w="675"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r>
      <w:tr w:rsidR="00435F82" w:rsidRPr="00960D4E" w:rsidTr="00F22B98">
        <w:trPr>
          <w:jc w:val="center"/>
        </w:trPr>
        <w:tc>
          <w:tcPr>
            <w:tcW w:w="637" w:type="dxa"/>
            <w:shd w:val="clear" w:color="auto" w:fill="auto"/>
            <w:vAlign w:val="center"/>
          </w:tcPr>
          <w:p w:rsidR="00435F82" w:rsidRPr="00960D4E" w:rsidRDefault="00435F82" w:rsidP="00F22B98">
            <w:pPr>
              <w:spacing w:after="240" w:line="276" w:lineRule="auto"/>
              <w:jc w:val="both"/>
              <w:outlineLvl w:val="0"/>
              <w:rPr>
                <w:sz w:val="26"/>
                <w:szCs w:val="26"/>
                <w:lang w:val="nl-NL"/>
              </w:rPr>
            </w:pPr>
            <w:r w:rsidRPr="00960D4E">
              <w:rPr>
                <w:sz w:val="26"/>
                <w:szCs w:val="26"/>
                <w:lang w:val="nl-NL"/>
              </w:rPr>
              <w:t>2.</w:t>
            </w:r>
          </w:p>
        </w:tc>
        <w:tc>
          <w:tcPr>
            <w:tcW w:w="1314"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c>
          <w:tcPr>
            <w:tcW w:w="992"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c>
          <w:tcPr>
            <w:tcW w:w="993"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c>
          <w:tcPr>
            <w:tcW w:w="1134"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c>
          <w:tcPr>
            <w:tcW w:w="1187"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c>
          <w:tcPr>
            <w:tcW w:w="1113"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c>
          <w:tcPr>
            <w:tcW w:w="1243"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c>
          <w:tcPr>
            <w:tcW w:w="675"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r>
      <w:tr w:rsidR="00435F82" w:rsidRPr="00960D4E" w:rsidTr="00F22B98">
        <w:trPr>
          <w:jc w:val="center"/>
        </w:trPr>
        <w:tc>
          <w:tcPr>
            <w:tcW w:w="637" w:type="dxa"/>
            <w:shd w:val="clear" w:color="auto" w:fill="auto"/>
            <w:vAlign w:val="center"/>
          </w:tcPr>
          <w:p w:rsidR="00435F82" w:rsidRPr="00960D4E" w:rsidRDefault="00435F82" w:rsidP="00F22B98">
            <w:pPr>
              <w:spacing w:after="240" w:line="276" w:lineRule="auto"/>
              <w:jc w:val="both"/>
              <w:outlineLvl w:val="0"/>
              <w:rPr>
                <w:sz w:val="26"/>
                <w:szCs w:val="26"/>
                <w:lang w:val="nl-NL"/>
              </w:rPr>
            </w:pPr>
            <w:r w:rsidRPr="00960D4E">
              <w:rPr>
                <w:sz w:val="26"/>
                <w:szCs w:val="26"/>
                <w:lang w:val="nl-NL"/>
              </w:rPr>
              <w:t>3.</w:t>
            </w:r>
          </w:p>
        </w:tc>
        <w:tc>
          <w:tcPr>
            <w:tcW w:w="1314"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c>
          <w:tcPr>
            <w:tcW w:w="992"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c>
          <w:tcPr>
            <w:tcW w:w="993"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c>
          <w:tcPr>
            <w:tcW w:w="1134"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c>
          <w:tcPr>
            <w:tcW w:w="1187"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c>
          <w:tcPr>
            <w:tcW w:w="1113"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c>
          <w:tcPr>
            <w:tcW w:w="1243"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c>
          <w:tcPr>
            <w:tcW w:w="675" w:type="dxa"/>
            <w:shd w:val="clear" w:color="auto" w:fill="auto"/>
            <w:vAlign w:val="center"/>
          </w:tcPr>
          <w:p w:rsidR="00435F82" w:rsidRPr="00960D4E" w:rsidRDefault="00435F82" w:rsidP="00F22B98">
            <w:pPr>
              <w:spacing w:after="240" w:line="276" w:lineRule="auto"/>
              <w:jc w:val="both"/>
              <w:outlineLvl w:val="0"/>
              <w:rPr>
                <w:sz w:val="26"/>
                <w:szCs w:val="26"/>
                <w:lang w:val="nl-NL"/>
              </w:rPr>
            </w:pPr>
          </w:p>
        </w:tc>
      </w:tr>
    </w:tbl>
    <w:p w:rsidR="00435F82" w:rsidRPr="001D4EAE" w:rsidRDefault="00435F82" w:rsidP="00435F82">
      <w:pPr>
        <w:spacing w:after="240" w:line="276" w:lineRule="auto"/>
        <w:jc w:val="both"/>
        <w:outlineLvl w:val="0"/>
        <w:rPr>
          <w:sz w:val="26"/>
          <w:szCs w:val="26"/>
          <w:lang w:val="nl-NL"/>
        </w:rPr>
      </w:pPr>
    </w:p>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center"/>
        <w:outlineLvl w:val="0"/>
        <w:rPr>
          <w:b/>
          <w:sz w:val="26"/>
          <w:szCs w:val="26"/>
          <w:lang w:val="nl-NL"/>
        </w:rPr>
      </w:pPr>
      <w:r>
        <w:rPr>
          <w:b/>
          <w:sz w:val="26"/>
          <w:szCs w:val="26"/>
          <w:lang w:val="nl-NL"/>
        </w:rPr>
        <w:t>Phụ lục 2</w:t>
      </w:r>
      <w:r w:rsidRPr="002B36AC">
        <w:rPr>
          <w:b/>
          <w:sz w:val="26"/>
          <w:szCs w:val="26"/>
          <w:lang w:val="nl-NL"/>
        </w:rPr>
        <w:t xml:space="preserve">. </w:t>
      </w:r>
      <w:r>
        <w:rPr>
          <w:b/>
          <w:sz w:val="26"/>
          <w:szCs w:val="26"/>
          <w:lang w:val="nl-NL"/>
        </w:rPr>
        <w:t>Kinh phí dự kiến thực hiện Nhiệm vụ</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32"/>
        <w:gridCol w:w="2209"/>
        <w:gridCol w:w="1902"/>
        <w:gridCol w:w="2193"/>
      </w:tblGrid>
      <w:tr w:rsidR="00435F82" w:rsidRPr="005050B8" w:rsidTr="00F22B98">
        <w:trPr>
          <w:trHeight w:val="1247"/>
          <w:jc w:val="center"/>
        </w:trPr>
        <w:tc>
          <w:tcPr>
            <w:tcW w:w="670" w:type="dxa"/>
            <w:shd w:val="clear" w:color="auto" w:fill="auto"/>
            <w:vAlign w:val="center"/>
            <w:hideMark/>
          </w:tcPr>
          <w:p w:rsidR="00435F82" w:rsidRPr="005050B8" w:rsidRDefault="00435F82" w:rsidP="00F22B98">
            <w:pPr>
              <w:jc w:val="center"/>
              <w:rPr>
                <w:b/>
                <w:bCs/>
                <w:color w:val="000000"/>
                <w:sz w:val="24"/>
                <w:szCs w:val="24"/>
              </w:rPr>
            </w:pPr>
            <w:r w:rsidRPr="005050B8">
              <w:rPr>
                <w:b/>
                <w:bCs/>
                <w:color w:val="000000"/>
                <w:sz w:val="24"/>
                <w:szCs w:val="24"/>
              </w:rPr>
              <w:t>STT</w:t>
            </w:r>
          </w:p>
        </w:tc>
        <w:tc>
          <w:tcPr>
            <w:tcW w:w="2232" w:type="dxa"/>
            <w:shd w:val="clear" w:color="auto" w:fill="auto"/>
            <w:vAlign w:val="center"/>
            <w:hideMark/>
          </w:tcPr>
          <w:p w:rsidR="00435F82" w:rsidRPr="005050B8" w:rsidRDefault="00435F82" w:rsidP="00F22B98">
            <w:pPr>
              <w:jc w:val="center"/>
              <w:rPr>
                <w:b/>
                <w:bCs/>
                <w:color w:val="000000"/>
                <w:sz w:val="26"/>
                <w:szCs w:val="26"/>
              </w:rPr>
            </w:pPr>
            <w:r>
              <w:rPr>
                <w:b/>
                <w:bCs/>
                <w:color w:val="000000"/>
                <w:sz w:val="26"/>
                <w:szCs w:val="26"/>
              </w:rPr>
              <w:t>Tên nhiệm vụ</w:t>
            </w:r>
          </w:p>
        </w:tc>
        <w:tc>
          <w:tcPr>
            <w:tcW w:w="2209" w:type="dxa"/>
            <w:shd w:val="clear" w:color="auto" w:fill="auto"/>
            <w:vAlign w:val="center"/>
          </w:tcPr>
          <w:p w:rsidR="00435F82" w:rsidRPr="005050B8" w:rsidRDefault="00435F82" w:rsidP="00F22B98">
            <w:pPr>
              <w:jc w:val="center"/>
              <w:rPr>
                <w:b/>
                <w:bCs/>
                <w:color w:val="000000"/>
                <w:sz w:val="26"/>
                <w:szCs w:val="26"/>
              </w:rPr>
            </w:pPr>
            <w:r>
              <w:rPr>
                <w:b/>
                <w:bCs/>
                <w:color w:val="000000"/>
                <w:sz w:val="26"/>
                <w:szCs w:val="26"/>
              </w:rPr>
              <w:t xml:space="preserve">Nội dung/Công việc </w:t>
            </w:r>
          </w:p>
        </w:tc>
        <w:tc>
          <w:tcPr>
            <w:tcW w:w="1902" w:type="dxa"/>
            <w:shd w:val="clear" w:color="auto" w:fill="auto"/>
            <w:vAlign w:val="center"/>
            <w:hideMark/>
          </w:tcPr>
          <w:p w:rsidR="00435F82" w:rsidRPr="005050B8" w:rsidRDefault="00435F82" w:rsidP="00F22B98">
            <w:pPr>
              <w:jc w:val="center"/>
              <w:rPr>
                <w:b/>
                <w:bCs/>
                <w:color w:val="000000"/>
                <w:sz w:val="26"/>
                <w:szCs w:val="26"/>
              </w:rPr>
            </w:pPr>
            <w:r w:rsidRPr="005050B8">
              <w:rPr>
                <w:b/>
                <w:bCs/>
                <w:color w:val="000000"/>
                <w:sz w:val="26"/>
                <w:szCs w:val="26"/>
              </w:rPr>
              <w:t xml:space="preserve"> Thành tiền </w:t>
            </w:r>
            <w:r w:rsidRPr="00F02D73">
              <w:rPr>
                <w:bCs/>
                <w:color w:val="000000"/>
                <w:sz w:val="26"/>
                <w:szCs w:val="26"/>
              </w:rPr>
              <w:t>(</w:t>
            </w:r>
            <w:r w:rsidRPr="00F02D73">
              <w:rPr>
                <w:bCs/>
                <w:i/>
                <w:color w:val="000000"/>
                <w:sz w:val="26"/>
                <w:szCs w:val="26"/>
              </w:rPr>
              <w:t>đồng</w:t>
            </w:r>
            <w:r w:rsidRPr="00F02D73">
              <w:rPr>
                <w:bCs/>
                <w:color w:val="000000"/>
                <w:sz w:val="26"/>
                <w:szCs w:val="26"/>
              </w:rPr>
              <w:t>)</w:t>
            </w:r>
            <w:r w:rsidRPr="005050B8">
              <w:rPr>
                <w:b/>
                <w:bCs/>
                <w:color w:val="000000"/>
                <w:sz w:val="26"/>
                <w:szCs w:val="26"/>
              </w:rPr>
              <w:t xml:space="preserve"> </w:t>
            </w:r>
          </w:p>
        </w:tc>
        <w:tc>
          <w:tcPr>
            <w:tcW w:w="2193" w:type="dxa"/>
            <w:shd w:val="clear" w:color="auto" w:fill="auto"/>
            <w:vAlign w:val="center"/>
            <w:hideMark/>
          </w:tcPr>
          <w:p w:rsidR="00435F82" w:rsidRPr="005050B8" w:rsidRDefault="00435F82" w:rsidP="00F22B98">
            <w:pPr>
              <w:jc w:val="center"/>
              <w:rPr>
                <w:b/>
                <w:bCs/>
                <w:color w:val="000000"/>
                <w:sz w:val="26"/>
                <w:szCs w:val="26"/>
              </w:rPr>
            </w:pPr>
            <w:r w:rsidRPr="005050B8">
              <w:rPr>
                <w:b/>
                <w:bCs/>
                <w:color w:val="000000"/>
                <w:sz w:val="26"/>
                <w:szCs w:val="26"/>
              </w:rPr>
              <w:t>Căn cứ áp dụng</w:t>
            </w:r>
            <w:r>
              <w:rPr>
                <w:rStyle w:val="FootnoteReference"/>
                <w:b/>
                <w:bCs/>
                <w:color w:val="000000"/>
                <w:sz w:val="26"/>
                <w:szCs w:val="26"/>
              </w:rPr>
              <w:footnoteReference w:id="3"/>
            </w:r>
            <w:r w:rsidRPr="005050B8">
              <w:rPr>
                <w:b/>
                <w:bCs/>
                <w:color w:val="000000"/>
                <w:sz w:val="26"/>
                <w:szCs w:val="26"/>
              </w:rPr>
              <w:t xml:space="preserve"> </w:t>
            </w:r>
          </w:p>
        </w:tc>
      </w:tr>
      <w:tr w:rsidR="00435F82" w:rsidRPr="005050B8" w:rsidTr="00F22B98">
        <w:trPr>
          <w:trHeight w:val="764"/>
          <w:jc w:val="center"/>
        </w:trPr>
        <w:tc>
          <w:tcPr>
            <w:tcW w:w="670" w:type="dxa"/>
            <w:vMerge w:val="restart"/>
            <w:shd w:val="clear" w:color="auto" w:fill="auto"/>
            <w:vAlign w:val="center"/>
            <w:hideMark/>
          </w:tcPr>
          <w:p w:rsidR="00435F82" w:rsidRPr="005050B8" w:rsidRDefault="00435F82" w:rsidP="00F22B98">
            <w:pPr>
              <w:rPr>
                <w:sz w:val="24"/>
                <w:szCs w:val="24"/>
              </w:rPr>
            </w:pPr>
            <w:r w:rsidRPr="005050B8">
              <w:rPr>
                <w:sz w:val="24"/>
                <w:szCs w:val="24"/>
              </w:rPr>
              <w:t>1</w:t>
            </w:r>
            <w:r>
              <w:rPr>
                <w:sz w:val="24"/>
                <w:szCs w:val="24"/>
              </w:rPr>
              <w:t>.</w:t>
            </w:r>
          </w:p>
        </w:tc>
        <w:tc>
          <w:tcPr>
            <w:tcW w:w="2232" w:type="dxa"/>
            <w:vMerge w:val="restart"/>
            <w:shd w:val="clear" w:color="auto" w:fill="auto"/>
            <w:vAlign w:val="center"/>
            <w:hideMark/>
          </w:tcPr>
          <w:p w:rsidR="00435F82" w:rsidRPr="005050B8" w:rsidRDefault="00435F82" w:rsidP="00F22B98">
            <w:pPr>
              <w:rPr>
                <w:color w:val="000000"/>
                <w:sz w:val="26"/>
                <w:szCs w:val="26"/>
              </w:rPr>
            </w:pPr>
            <w:r>
              <w:rPr>
                <w:color w:val="000000"/>
                <w:sz w:val="26"/>
                <w:szCs w:val="26"/>
              </w:rPr>
              <w:t>Nhiệm vụ 1:</w:t>
            </w:r>
          </w:p>
        </w:tc>
        <w:tc>
          <w:tcPr>
            <w:tcW w:w="2209" w:type="dxa"/>
            <w:vAlign w:val="center"/>
          </w:tcPr>
          <w:p w:rsidR="00435F82" w:rsidRPr="005050B8" w:rsidRDefault="00435F82" w:rsidP="00F22B98">
            <w:pPr>
              <w:jc w:val="both"/>
              <w:rPr>
                <w:sz w:val="26"/>
                <w:szCs w:val="26"/>
              </w:rPr>
            </w:pPr>
            <w:r>
              <w:rPr>
                <w:sz w:val="26"/>
                <w:szCs w:val="26"/>
              </w:rPr>
              <w:t>Công việc 1</w:t>
            </w:r>
          </w:p>
        </w:tc>
        <w:tc>
          <w:tcPr>
            <w:tcW w:w="1902" w:type="dxa"/>
            <w:shd w:val="clear" w:color="auto" w:fill="auto"/>
            <w:vAlign w:val="center"/>
          </w:tcPr>
          <w:p w:rsidR="00435F82" w:rsidRPr="005050B8" w:rsidRDefault="00435F82" w:rsidP="00F22B98">
            <w:pPr>
              <w:jc w:val="both"/>
              <w:rPr>
                <w:sz w:val="26"/>
                <w:szCs w:val="26"/>
              </w:rPr>
            </w:pPr>
          </w:p>
        </w:tc>
        <w:tc>
          <w:tcPr>
            <w:tcW w:w="2193" w:type="dxa"/>
            <w:shd w:val="clear" w:color="auto" w:fill="auto"/>
            <w:vAlign w:val="center"/>
          </w:tcPr>
          <w:p w:rsidR="00435F82" w:rsidRPr="005050B8" w:rsidRDefault="00435F82" w:rsidP="00F22B98">
            <w:pPr>
              <w:jc w:val="both"/>
              <w:rPr>
                <w:sz w:val="26"/>
                <w:szCs w:val="26"/>
              </w:rPr>
            </w:pPr>
          </w:p>
        </w:tc>
      </w:tr>
      <w:tr w:rsidR="00435F82" w:rsidRPr="005050B8" w:rsidTr="00F22B98">
        <w:trPr>
          <w:trHeight w:val="779"/>
          <w:jc w:val="center"/>
        </w:trPr>
        <w:tc>
          <w:tcPr>
            <w:tcW w:w="670" w:type="dxa"/>
            <w:vMerge/>
            <w:shd w:val="clear" w:color="auto" w:fill="auto"/>
            <w:vAlign w:val="center"/>
          </w:tcPr>
          <w:p w:rsidR="00435F82" w:rsidRPr="007C6C7B" w:rsidRDefault="00435F82" w:rsidP="00F22B98">
            <w:pPr>
              <w:rPr>
                <w:color w:val="000000"/>
                <w:sz w:val="24"/>
                <w:szCs w:val="24"/>
              </w:rPr>
            </w:pPr>
          </w:p>
        </w:tc>
        <w:tc>
          <w:tcPr>
            <w:tcW w:w="2232" w:type="dxa"/>
            <w:vMerge/>
            <w:shd w:val="clear" w:color="auto" w:fill="auto"/>
            <w:vAlign w:val="center"/>
          </w:tcPr>
          <w:p w:rsidR="00435F82" w:rsidRPr="005050B8" w:rsidRDefault="00435F82" w:rsidP="00F22B98">
            <w:pPr>
              <w:rPr>
                <w:color w:val="000000"/>
                <w:sz w:val="26"/>
                <w:szCs w:val="26"/>
              </w:rPr>
            </w:pPr>
          </w:p>
        </w:tc>
        <w:tc>
          <w:tcPr>
            <w:tcW w:w="2209" w:type="dxa"/>
            <w:vAlign w:val="center"/>
          </w:tcPr>
          <w:p w:rsidR="00435F82" w:rsidRPr="005050B8" w:rsidRDefault="00435F82" w:rsidP="00F22B98">
            <w:pPr>
              <w:jc w:val="both"/>
              <w:rPr>
                <w:color w:val="000000"/>
                <w:sz w:val="26"/>
                <w:szCs w:val="26"/>
              </w:rPr>
            </w:pPr>
            <w:r>
              <w:rPr>
                <w:color w:val="000000"/>
                <w:sz w:val="26"/>
                <w:szCs w:val="26"/>
              </w:rPr>
              <w:t>Công việc 2</w:t>
            </w:r>
          </w:p>
        </w:tc>
        <w:tc>
          <w:tcPr>
            <w:tcW w:w="1902" w:type="dxa"/>
            <w:shd w:val="clear" w:color="auto" w:fill="auto"/>
            <w:vAlign w:val="center"/>
          </w:tcPr>
          <w:p w:rsidR="00435F82" w:rsidRPr="005050B8" w:rsidRDefault="00435F82" w:rsidP="00F22B98">
            <w:pPr>
              <w:jc w:val="both"/>
              <w:rPr>
                <w:color w:val="000000"/>
                <w:sz w:val="26"/>
                <w:szCs w:val="26"/>
              </w:rPr>
            </w:pPr>
          </w:p>
        </w:tc>
        <w:tc>
          <w:tcPr>
            <w:tcW w:w="2193" w:type="dxa"/>
            <w:shd w:val="clear" w:color="auto" w:fill="auto"/>
            <w:vAlign w:val="center"/>
          </w:tcPr>
          <w:p w:rsidR="00435F82" w:rsidRPr="005050B8" w:rsidRDefault="00435F82" w:rsidP="00F22B98">
            <w:pPr>
              <w:jc w:val="both"/>
              <w:rPr>
                <w:sz w:val="26"/>
                <w:szCs w:val="26"/>
              </w:rPr>
            </w:pPr>
          </w:p>
        </w:tc>
      </w:tr>
      <w:tr w:rsidR="00435F82" w:rsidRPr="005050B8" w:rsidTr="00F22B98">
        <w:trPr>
          <w:trHeight w:val="947"/>
          <w:jc w:val="center"/>
        </w:trPr>
        <w:tc>
          <w:tcPr>
            <w:tcW w:w="670" w:type="dxa"/>
            <w:vMerge/>
            <w:shd w:val="clear" w:color="auto" w:fill="auto"/>
            <w:vAlign w:val="center"/>
          </w:tcPr>
          <w:p w:rsidR="00435F82" w:rsidRPr="005050B8" w:rsidRDefault="00435F82" w:rsidP="00F22B98">
            <w:pPr>
              <w:rPr>
                <w:sz w:val="24"/>
                <w:szCs w:val="24"/>
              </w:rPr>
            </w:pPr>
          </w:p>
        </w:tc>
        <w:tc>
          <w:tcPr>
            <w:tcW w:w="2232" w:type="dxa"/>
            <w:vMerge/>
            <w:shd w:val="clear" w:color="auto" w:fill="auto"/>
            <w:vAlign w:val="center"/>
          </w:tcPr>
          <w:p w:rsidR="00435F82" w:rsidRPr="005050B8" w:rsidRDefault="00435F82" w:rsidP="00F22B98">
            <w:pPr>
              <w:rPr>
                <w:color w:val="000000"/>
                <w:sz w:val="26"/>
                <w:szCs w:val="26"/>
              </w:rPr>
            </w:pPr>
          </w:p>
        </w:tc>
        <w:tc>
          <w:tcPr>
            <w:tcW w:w="2209" w:type="dxa"/>
            <w:vAlign w:val="center"/>
          </w:tcPr>
          <w:p w:rsidR="00435F82" w:rsidRPr="005050B8" w:rsidRDefault="00435F82" w:rsidP="00F22B98">
            <w:pPr>
              <w:jc w:val="both"/>
              <w:rPr>
                <w:color w:val="000000"/>
                <w:sz w:val="26"/>
                <w:szCs w:val="26"/>
              </w:rPr>
            </w:pPr>
            <w:r>
              <w:rPr>
                <w:color w:val="000000"/>
                <w:sz w:val="26"/>
                <w:szCs w:val="26"/>
              </w:rPr>
              <w:t>Công việc 3</w:t>
            </w:r>
          </w:p>
        </w:tc>
        <w:tc>
          <w:tcPr>
            <w:tcW w:w="1902" w:type="dxa"/>
            <w:shd w:val="clear" w:color="auto" w:fill="auto"/>
            <w:vAlign w:val="center"/>
          </w:tcPr>
          <w:p w:rsidR="00435F82" w:rsidRPr="005050B8" w:rsidRDefault="00435F82" w:rsidP="00F22B98">
            <w:pPr>
              <w:jc w:val="both"/>
              <w:rPr>
                <w:color w:val="000000"/>
                <w:sz w:val="26"/>
                <w:szCs w:val="26"/>
              </w:rPr>
            </w:pPr>
          </w:p>
        </w:tc>
        <w:tc>
          <w:tcPr>
            <w:tcW w:w="2193" w:type="dxa"/>
            <w:shd w:val="clear" w:color="auto" w:fill="auto"/>
            <w:vAlign w:val="center"/>
          </w:tcPr>
          <w:p w:rsidR="00435F82" w:rsidRPr="005050B8" w:rsidRDefault="00435F82" w:rsidP="00F22B98">
            <w:pPr>
              <w:jc w:val="both"/>
              <w:rPr>
                <w:sz w:val="26"/>
                <w:szCs w:val="26"/>
              </w:rPr>
            </w:pPr>
          </w:p>
        </w:tc>
      </w:tr>
      <w:tr w:rsidR="00435F82" w:rsidRPr="005050B8" w:rsidTr="00F22B98">
        <w:trPr>
          <w:trHeight w:val="1069"/>
          <w:jc w:val="center"/>
        </w:trPr>
        <w:tc>
          <w:tcPr>
            <w:tcW w:w="670" w:type="dxa"/>
            <w:vMerge w:val="restart"/>
            <w:shd w:val="clear" w:color="auto" w:fill="auto"/>
            <w:vAlign w:val="center"/>
            <w:hideMark/>
          </w:tcPr>
          <w:p w:rsidR="00435F82" w:rsidRPr="005050B8" w:rsidRDefault="00435F82" w:rsidP="00F22B98">
            <w:pPr>
              <w:rPr>
                <w:sz w:val="24"/>
                <w:szCs w:val="24"/>
              </w:rPr>
            </w:pPr>
            <w:r>
              <w:rPr>
                <w:sz w:val="24"/>
                <w:szCs w:val="24"/>
              </w:rPr>
              <w:t>2.</w:t>
            </w:r>
          </w:p>
        </w:tc>
        <w:tc>
          <w:tcPr>
            <w:tcW w:w="2232" w:type="dxa"/>
            <w:vMerge w:val="restart"/>
            <w:shd w:val="clear" w:color="auto" w:fill="auto"/>
            <w:vAlign w:val="center"/>
          </w:tcPr>
          <w:p w:rsidR="00435F82" w:rsidRPr="005050B8" w:rsidRDefault="00435F82" w:rsidP="00F22B98">
            <w:pPr>
              <w:rPr>
                <w:color w:val="000000"/>
                <w:sz w:val="26"/>
                <w:szCs w:val="26"/>
              </w:rPr>
            </w:pPr>
            <w:r>
              <w:rPr>
                <w:color w:val="000000"/>
                <w:sz w:val="26"/>
                <w:szCs w:val="26"/>
              </w:rPr>
              <w:t>Nhiệm vụ 2:</w:t>
            </w:r>
          </w:p>
        </w:tc>
        <w:tc>
          <w:tcPr>
            <w:tcW w:w="2209" w:type="dxa"/>
            <w:vAlign w:val="center"/>
          </w:tcPr>
          <w:p w:rsidR="00435F82" w:rsidRPr="005050B8" w:rsidRDefault="00435F82" w:rsidP="00F22B98">
            <w:pPr>
              <w:jc w:val="both"/>
              <w:rPr>
                <w:sz w:val="26"/>
                <w:szCs w:val="26"/>
              </w:rPr>
            </w:pPr>
            <w:r>
              <w:rPr>
                <w:sz w:val="26"/>
                <w:szCs w:val="26"/>
              </w:rPr>
              <w:t>Công việc 1</w:t>
            </w:r>
          </w:p>
        </w:tc>
        <w:tc>
          <w:tcPr>
            <w:tcW w:w="1902" w:type="dxa"/>
            <w:shd w:val="clear" w:color="auto" w:fill="auto"/>
            <w:vAlign w:val="center"/>
          </w:tcPr>
          <w:p w:rsidR="00435F82" w:rsidRPr="005050B8" w:rsidRDefault="00435F82" w:rsidP="00F22B98">
            <w:pPr>
              <w:jc w:val="both"/>
              <w:rPr>
                <w:color w:val="000000"/>
                <w:sz w:val="26"/>
                <w:szCs w:val="26"/>
              </w:rPr>
            </w:pPr>
          </w:p>
        </w:tc>
        <w:tc>
          <w:tcPr>
            <w:tcW w:w="2193" w:type="dxa"/>
            <w:vAlign w:val="center"/>
          </w:tcPr>
          <w:p w:rsidR="00435F82" w:rsidRPr="005050B8" w:rsidRDefault="00435F82" w:rsidP="00F22B98">
            <w:pPr>
              <w:jc w:val="both"/>
              <w:rPr>
                <w:sz w:val="26"/>
                <w:szCs w:val="26"/>
              </w:rPr>
            </w:pPr>
          </w:p>
        </w:tc>
      </w:tr>
      <w:tr w:rsidR="00435F82" w:rsidRPr="005050B8" w:rsidTr="00F22B98">
        <w:trPr>
          <w:trHeight w:val="489"/>
          <w:jc w:val="center"/>
        </w:trPr>
        <w:tc>
          <w:tcPr>
            <w:tcW w:w="670" w:type="dxa"/>
            <w:vMerge/>
            <w:shd w:val="clear" w:color="auto" w:fill="auto"/>
            <w:vAlign w:val="center"/>
          </w:tcPr>
          <w:p w:rsidR="00435F82" w:rsidRPr="005050B8" w:rsidRDefault="00435F82" w:rsidP="00F22B98">
            <w:pPr>
              <w:rPr>
                <w:sz w:val="24"/>
                <w:szCs w:val="24"/>
              </w:rPr>
            </w:pPr>
          </w:p>
        </w:tc>
        <w:tc>
          <w:tcPr>
            <w:tcW w:w="2232" w:type="dxa"/>
            <w:vMerge/>
            <w:shd w:val="clear" w:color="auto" w:fill="auto"/>
            <w:vAlign w:val="center"/>
          </w:tcPr>
          <w:p w:rsidR="00435F82" w:rsidRPr="005050B8" w:rsidRDefault="00435F82" w:rsidP="00F22B98">
            <w:pPr>
              <w:rPr>
                <w:color w:val="000000"/>
                <w:sz w:val="26"/>
                <w:szCs w:val="26"/>
              </w:rPr>
            </w:pPr>
          </w:p>
        </w:tc>
        <w:tc>
          <w:tcPr>
            <w:tcW w:w="2209" w:type="dxa"/>
            <w:vAlign w:val="center"/>
          </w:tcPr>
          <w:p w:rsidR="00435F82" w:rsidRPr="005050B8" w:rsidRDefault="00435F82" w:rsidP="00F22B98">
            <w:pPr>
              <w:jc w:val="both"/>
              <w:rPr>
                <w:color w:val="000000"/>
                <w:sz w:val="26"/>
                <w:szCs w:val="26"/>
              </w:rPr>
            </w:pPr>
            <w:r>
              <w:rPr>
                <w:color w:val="000000"/>
                <w:sz w:val="26"/>
                <w:szCs w:val="26"/>
              </w:rPr>
              <w:t>Công việc 2</w:t>
            </w:r>
          </w:p>
        </w:tc>
        <w:tc>
          <w:tcPr>
            <w:tcW w:w="1902" w:type="dxa"/>
            <w:shd w:val="clear" w:color="auto" w:fill="auto"/>
            <w:vAlign w:val="center"/>
          </w:tcPr>
          <w:p w:rsidR="00435F82" w:rsidRPr="005050B8" w:rsidRDefault="00435F82" w:rsidP="00F22B98">
            <w:pPr>
              <w:jc w:val="both"/>
              <w:rPr>
                <w:color w:val="000000"/>
                <w:sz w:val="26"/>
                <w:szCs w:val="26"/>
              </w:rPr>
            </w:pPr>
          </w:p>
        </w:tc>
        <w:tc>
          <w:tcPr>
            <w:tcW w:w="2193" w:type="dxa"/>
            <w:shd w:val="clear" w:color="auto" w:fill="auto"/>
            <w:vAlign w:val="center"/>
          </w:tcPr>
          <w:p w:rsidR="00435F82" w:rsidRPr="005050B8" w:rsidRDefault="00435F82" w:rsidP="00F22B98">
            <w:pPr>
              <w:jc w:val="both"/>
              <w:rPr>
                <w:sz w:val="26"/>
                <w:szCs w:val="26"/>
              </w:rPr>
            </w:pPr>
          </w:p>
        </w:tc>
      </w:tr>
      <w:tr w:rsidR="00435F82" w:rsidRPr="005050B8" w:rsidTr="00F22B98">
        <w:trPr>
          <w:trHeight w:val="718"/>
          <w:jc w:val="center"/>
        </w:trPr>
        <w:tc>
          <w:tcPr>
            <w:tcW w:w="670" w:type="dxa"/>
            <w:vMerge/>
            <w:shd w:val="clear" w:color="auto" w:fill="auto"/>
            <w:vAlign w:val="center"/>
          </w:tcPr>
          <w:p w:rsidR="00435F82" w:rsidRPr="007C6C7B" w:rsidRDefault="00435F82" w:rsidP="00F22B98">
            <w:pPr>
              <w:rPr>
                <w:color w:val="000000"/>
                <w:sz w:val="24"/>
                <w:szCs w:val="24"/>
              </w:rPr>
            </w:pPr>
          </w:p>
        </w:tc>
        <w:tc>
          <w:tcPr>
            <w:tcW w:w="2232" w:type="dxa"/>
            <w:vMerge/>
            <w:shd w:val="clear" w:color="auto" w:fill="auto"/>
            <w:vAlign w:val="center"/>
          </w:tcPr>
          <w:p w:rsidR="00435F82" w:rsidRPr="005050B8" w:rsidRDefault="00435F82" w:rsidP="00F22B98">
            <w:pPr>
              <w:rPr>
                <w:color w:val="000000"/>
                <w:sz w:val="26"/>
                <w:szCs w:val="26"/>
              </w:rPr>
            </w:pPr>
          </w:p>
        </w:tc>
        <w:tc>
          <w:tcPr>
            <w:tcW w:w="2209" w:type="dxa"/>
            <w:vAlign w:val="center"/>
          </w:tcPr>
          <w:p w:rsidR="00435F82" w:rsidRPr="005050B8" w:rsidRDefault="00435F82" w:rsidP="00F22B98">
            <w:pPr>
              <w:jc w:val="both"/>
              <w:rPr>
                <w:color w:val="000000"/>
                <w:sz w:val="26"/>
                <w:szCs w:val="26"/>
              </w:rPr>
            </w:pPr>
            <w:r>
              <w:rPr>
                <w:color w:val="000000"/>
                <w:sz w:val="26"/>
                <w:szCs w:val="26"/>
              </w:rPr>
              <w:t>Công việc 3</w:t>
            </w:r>
          </w:p>
        </w:tc>
        <w:tc>
          <w:tcPr>
            <w:tcW w:w="1902" w:type="dxa"/>
            <w:shd w:val="clear" w:color="auto" w:fill="auto"/>
            <w:vAlign w:val="center"/>
          </w:tcPr>
          <w:p w:rsidR="00435F82" w:rsidRPr="005050B8" w:rsidRDefault="00435F82" w:rsidP="00F22B98">
            <w:pPr>
              <w:jc w:val="both"/>
              <w:rPr>
                <w:color w:val="000000"/>
                <w:sz w:val="26"/>
                <w:szCs w:val="26"/>
              </w:rPr>
            </w:pPr>
          </w:p>
        </w:tc>
        <w:tc>
          <w:tcPr>
            <w:tcW w:w="2193" w:type="dxa"/>
            <w:shd w:val="clear" w:color="auto" w:fill="auto"/>
            <w:vAlign w:val="center"/>
          </w:tcPr>
          <w:p w:rsidR="00435F82" w:rsidRPr="005050B8" w:rsidRDefault="00435F82" w:rsidP="00F22B98">
            <w:pPr>
              <w:jc w:val="both"/>
              <w:rPr>
                <w:sz w:val="26"/>
                <w:szCs w:val="26"/>
              </w:rPr>
            </w:pPr>
          </w:p>
        </w:tc>
      </w:tr>
      <w:tr w:rsidR="00435F82" w:rsidRPr="005050B8" w:rsidTr="00F22B98">
        <w:trPr>
          <w:trHeight w:val="473"/>
          <w:jc w:val="center"/>
        </w:trPr>
        <w:tc>
          <w:tcPr>
            <w:tcW w:w="5111" w:type="dxa"/>
            <w:gridSpan w:val="3"/>
            <w:shd w:val="clear" w:color="auto" w:fill="auto"/>
            <w:noWrap/>
            <w:vAlign w:val="center"/>
            <w:hideMark/>
          </w:tcPr>
          <w:p w:rsidR="00435F82" w:rsidRPr="005050B8" w:rsidRDefault="00435F82" w:rsidP="00F22B98">
            <w:pPr>
              <w:jc w:val="center"/>
              <w:rPr>
                <w:b/>
                <w:bCs/>
                <w:color w:val="000000"/>
                <w:sz w:val="26"/>
                <w:szCs w:val="26"/>
              </w:rPr>
            </w:pPr>
            <w:r w:rsidRPr="005050B8">
              <w:rPr>
                <w:b/>
                <w:bCs/>
                <w:color w:val="000000"/>
                <w:sz w:val="26"/>
                <w:szCs w:val="26"/>
              </w:rPr>
              <w:t>Tổng cộng</w:t>
            </w:r>
          </w:p>
        </w:tc>
        <w:tc>
          <w:tcPr>
            <w:tcW w:w="1902" w:type="dxa"/>
            <w:shd w:val="clear" w:color="auto" w:fill="auto"/>
            <w:noWrap/>
            <w:vAlign w:val="center"/>
          </w:tcPr>
          <w:p w:rsidR="00435F82" w:rsidRPr="005050B8" w:rsidRDefault="00435F82" w:rsidP="00F22B98">
            <w:pPr>
              <w:jc w:val="right"/>
              <w:rPr>
                <w:b/>
                <w:bCs/>
                <w:color w:val="000000"/>
                <w:sz w:val="26"/>
                <w:szCs w:val="26"/>
              </w:rPr>
            </w:pPr>
          </w:p>
        </w:tc>
        <w:tc>
          <w:tcPr>
            <w:tcW w:w="2193" w:type="dxa"/>
            <w:shd w:val="clear" w:color="auto" w:fill="auto"/>
            <w:noWrap/>
            <w:vAlign w:val="center"/>
            <w:hideMark/>
          </w:tcPr>
          <w:p w:rsidR="00435F82" w:rsidRPr="005050B8" w:rsidRDefault="00435F82" w:rsidP="00F22B98">
            <w:pPr>
              <w:rPr>
                <w:color w:val="000000"/>
                <w:sz w:val="26"/>
                <w:szCs w:val="26"/>
              </w:rPr>
            </w:pPr>
            <w:r w:rsidRPr="005050B8">
              <w:rPr>
                <w:color w:val="000000"/>
                <w:sz w:val="26"/>
                <w:szCs w:val="26"/>
              </w:rPr>
              <w:t> </w:t>
            </w:r>
          </w:p>
        </w:tc>
      </w:tr>
    </w:tbl>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both"/>
        <w:outlineLvl w:val="0"/>
        <w:rPr>
          <w:b/>
          <w:sz w:val="26"/>
          <w:szCs w:val="26"/>
          <w:lang w:val="nl-NL"/>
        </w:rPr>
      </w:pPr>
    </w:p>
    <w:p w:rsidR="00435F82" w:rsidRDefault="00435F82" w:rsidP="00435F82">
      <w:pPr>
        <w:spacing w:after="240" w:line="276" w:lineRule="auto"/>
        <w:jc w:val="center"/>
        <w:outlineLvl w:val="0"/>
        <w:rPr>
          <w:b/>
          <w:sz w:val="26"/>
          <w:szCs w:val="26"/>
          <w:lang w:val="nl-NL"/>
        </w:rPr>
      </w:pPr>
      <w:r>
        <w:rPr>
          <w:b/>
          <w:sz w:val="26"/>
          <w:szCs w:val="26"/>
          <w:lang w:val="nl-NL"/>
        </w:rPr>
        <w:t>Phụ lục 3</w:t>
      </w:r>
      <w:r w:rsidRPr="002B36AC">
        <w:rPr>
          <w:b/>
          <w:sz w:val="26"/>
          <w:szCs w:val="26"/>
          <w:lang w:val="nl-NL"/>
        </w:rPr>
        <w:t xml:space="preserve">. </w:t>
      </w:r>
      <w:r>
        <w:rPr>
          <w:b/>
          <w:sz w:val="26"/>
          <w:szCs w:val="26"/>
          <w:lang w:val="nl-NL"/>
        </w:rPr>
        <w:t>Căn cứ  tham khảo phục vụ việc xây dựng kinh phí của Nhiệm vụ</w:t>
      </w:r>
    </w:p>
    <w:p w:rsidR="00435F82" w:rsidRPr="00600795" w:rsidRDefault="00435F82" w:rsidP="00435F82">
      <w:pPr>
        <w:pStyle w:val="BodyTextIndent"/>
        <w:numPr>
          <w:ilvl w:val="0"/>
          <w:numId w:val="1"/>
        </w:numPr>
        <w:spacing w:before="120"/>
        <w:ind w:left="0" w:firstLine="357"/>
        <w:rPr>
          <w:szCs w:val="26"/>
        </w:rPr>
      </w:pPr>
      <w:r w:rsidRPr="00600795">
        <w:rPr>
          <w:szCs w:val="26"/>
        </w:rPr>
        <w:t>Chi điều tra, khảo sát</w:t>
      </w:r>
      <w:r w:rsidRPr="00600795">
        <w:rPr>
          <w:szCs w:val="26"/>
          <w:lang w:val="vi-VN"/>
        </w:rPr>
        <w:t xml:space="preserve"> thực hiện t</w:t>
      </w:r>
      <w:r w:rsidRPr="00600795">
        <w:rPr>
          <w:szCs w:val="26"/>
        </w:rPr>
        <w:t>heo quy định tại Thông tư số </w:t>
      </w:r>
      <w:hyperlink r:id="rId7" w:tgtFrame="_blank" w:tooltip="Thông tư 109/2016/TT-BTC" w:history="1">
        <w:r w:rsidRPr="00600795">
          <w:rPr>
            <w:szCs w:val="26"/>
          </w:rPr>
          <w:t>109/2016/TT-BTC</w:t>
        </w:r>
      </w:hyperlink>
      <w:r w:rsidRPr="00600795">
        <w:rPr>
          <w:szCs w:val="26"/>
        </w:rPr>
        <w:t> ngày 30 tháng 6 năm 2016 của Bộ Tài chính hướng dẫn quản lý, sử dụng và quyết toán kinh phí thực hiện các cuộc điều tra thống kê, tổng điều tra thống kê quốc gia.</w:t>
      </w:r>
    </w:p>
    <w:p w:rsidR="00435F82" w:rsidRPr="008278CB" w:rsidRDefault="00435F82" w:rsidP="00435F82">
      <w:pPr>
        <w:pStyle w:val="BodyTextIndent"/>
        <w:numPr>
          <w:ilvl w:val="0"/>
          <w:numId w:val="1"/>
        </w:numPr>
        <w:spacing w:before="120"/>
        <w:ind w:left="0" w:firstLine="357"/>
        <w:rPr>
          <w:szCs w:val="26"/>
        </w:rPr>
      </w:pPr>
      <w:r w:rsidRPr="008278CB">
        <w:rPr>
          <w:szCs w:val="26"/>
        </w:rPr>
        <w:t>C</w:t>
      </w:r>
      <w:r w:rsidRPr="008278CB">
        <w:rPr>
          <w:szCs w:val="26"/>
          <w:lang w:val="en-US"/>
        </w:rPr>
        <w:t>hi xây dựng các tiêu chuẩn, quy chuẩn, các chỉ tiêu về chi phí năng lượng riêng, hiệu suất năng lượng tối thiểu: Nội dung chi và mức chi theo Thông tư liên tịch số </w:t>
      </w:r>
      <w:hyperlink r:id="rId8" w:tgtFrame="_blank" w:tooltip="Thông tư liên tịch 145/2009/TTLT-BTC-BKHCN" w:history="1">
        <w:r w:rsidRPr="008278CB">
          <w:rPr>
            <w:szCs w:val="26"/>
            <w:lang w:val="en-US"/>
          </w:rPr>
          <w:t>145/2009/TTLT-BTC-BKHCN</w:t>
        </w:r>
      </w:hyperlink>
      <w:r w:rsidRPr="008278CB">
        <w:rPr>
          <w:szCs w:val="26"/>
          <w:lang w:val="en-US"/>
        </w:rPr>
        <w:t xml:space="preserve"> ngày 17 tháng 7 năm 2009 của Bộ Tài chính, Bộ Khoa học và Công nghệ hướng dẫn việc quản lý và sử dụng kinh phí bảo đảm cho hoạt động xây dựng tiêu chuẩn quốc gia và quy chuẩn kỹ thuật.</w:t>
      </w:r>
    </w:p>
    <w:p w:rsidR="00435F82" w:rsidRPr="00600795" w:rsidRDefault="00435F82" w:rsidP="00435F82">
      <w:pPr>
        <w:pStyle w:val="BodyTextIndent"/>
        <w:numPr>
          <w:ilvl w:val="0"/>
          <w:numId w:val="1"/>
        </w:numPr>
        <w:spacing w:before="120"/>
        <w:ind w:left="0" w:firstLine="357"/>
        <w:rPr>
          <w:szCs w:val="26"/>
          <w:lang w:val="en-US"/>
        </w:rPr>
      </w:pPr>
      <w:r w:rsidRPr="00600795">
        <w:rPr>
          <w:szCs w:val="26"/>
        </w:rPr>
        <w:t>Chi</w:t>
      </w:r>
      <w:r w:rsidRPr="00600795">
        <w:rPr>
          <w:szCs w:val="26"/>
          <w:lang w:val="en-US"/>
        </w:rPr>
        <w:t xml:space="preserve"> </w:t>
      </w:r>
      <w:r w:rsidRPr="00600795">
        <w:rPr>
          <w:szCs w:val="26"/>
        </w:rPr>
        <w:t xml:space="preserve">các hoạt động dán nhãn năng lượng, thử nghiệm hiệu suất năng lượng và chuyển đổi thị trường hiệu suất năng lượng: </w:t>
      </w:r>
      <w:r w:rsidRPr="00600795">
        <w:rPr>
          <w:szCs w:val="26"/>
          <w:lang w:val="en-US"/>
        </w:rPr>
        <w:t>N</w:t>
      </w:r>
      <w:r w:rsidRPr="00600795">
        <w:rPr>
          <w:szCs w:val="26"/>
        </w:rPr>
        <w:t xml:space="preserve">ội dung và mức chi </w:t>
      </w:r>
      <w:r w:rsidRPr="00600795">
        <w:rPr>
          <w:szCs w:val="26"/>
          <w:lang w:val="en-US"/>
        </w:rPr>
        <w:t>thực hiện theo</w:t>
      </w:r>
      <w:r w:rsidRPr="00600795">
        <w:rPr>
          <w:szCs w:val="26"/>
        </w:rPr>
        <w:t xml:space="preserve"> Thông tư số 91/2018/TT-BTC hướng dẫn lập, quản lý và sử dụng kinh phí thực hiện lộ trình dán nhãn năng lượng và áp dụng mức hiệu suất năng </w:t>
      </w:r>
      <w:r w:rsidRPr="00600795">
        <w:rPr>
          <w:szCs w:val="26"/>
          <w:lang w:val="en-US"/>
        </w:rPr>
        <w:t>lượng tối thiểu.</w:t>
      </w:r>
    </w:p>
    <w:p w:rsidR="00435F82" w:rsidRPr="00600795" w:rsidRDefault="00435F82" w:rsidP="00435F82">
      <w:pPr>
        <w:pStyle w:val="BodyTextIndent"/>
        <w:numPr>
          <w:ilvl w:val="0"/>
          <w:numId w:val="1"/>
        </w:numPr>
        <w:spacing w:before="120"/>
        <w:ind w:left="0" w:firstLine="357"/>
        <w:rPr>
          <w:szCs w:val="26"/>
          <w:lang w:val="en-US"/>
        </w:rPr>
      </w:pPr>
      <w:r w:rsidRPr="00600795">
        <w:rPr>
          <w:szCs w:val="26"/>
          <w:lang w:val="en-US"/>
        </w:rPr>
        <w:t>Chi tạo lập thông tin, xây dựng cơ sở dữ liệu: Theo quy định tại Thông tư số </w:t>
      </w:r>
      <w:hyperlink r:id="rId9" w:tgtFrame="_blank" w:tooltip="Thông tư 194/2012/TT-BTC" w:history="1">
        <w:r w:rsidRPr="00600795">
          <w:rPr>
            <w:szCs w:val="26"/>
            <w:lang w:val="en-US"/>
          </w:rPr>
          <w:t>194/2012/TT-BTC</w:t>
        </w:r>
      </w:hyperlink>
      <w:r w:rsidRPr="00600795">
        <w:rPr>
          <w:szCs w:val="26"/>
          <w:lang w:val="en-US"/>
        </w:rPr>
        <w:t xml:space="preserve"> ngày 15 tháng 11 năm 2012 của Bộ Tài chính về hướng dẫn mức chi tạo lập thông tin điện tử nhằm duy trì hoạt động thường xuyên của các cơ quan, đơn vị sử dụng ngân sách nhà nước và Thông tư liên tịch số 19/2012/TTLT-BTC-BKHĐT-BTTTT ngày 15 tháng 02 năm 2012 của liên Bộ: Tài chính - Kế hoạch và Đầu tư - Thông tin truyền thông về hướng dẫn quản lý và sử dụng kinh phí thực hiện chương trình quốc gia về ứng dụng công nghệ </w:t>
      </w:r>
      <w:r w:rsidRPr="00600795">
        <w:rPr>
          <w:szCs w:val="26"/>
        </w:rPr>
        <w:t>thông tin trong hoạt động của cơ quan nhà nước</w:t>
      </w:r>
      <w:r w:rsidRPr="00600795">
        <w:rPr>
          <w:szCs w:val="26"/>
          <w:lang w:val="en-US"/>
        </w:rPr>
        <w:t>.</w:t>
      </w:r>
    </w:p>
    <w:p w:rsidR="00435F82" w:rsidRPr="00600795" w:rsidRDefault="00435F82" w:rsidP="00435F82">
      <w:pPr>
        <w:numPr>
          <w:ilvl w:val="0"/>
          <w:numId w:val="1"/>
        </w:numPr>
        <w:spacing w:before="120" w:after="120"/>
        <w:ind w:left="0" w:firstLine="357"/>
        <w:jc w:val="both"/>
        <w:rPr>
          <w:sz w:val="26"/>
          <w:szCs w:val="26"/>
          <w:lang w:val="x-none" w:eastAsia="x-none"/>
        </w:rPr>
      </w:pPr>
      <w:r w:rsidRPr="00600795">
        <w:rPr>
          <w:sz w:val="26"/>
          <w:szCs w:val="26"/>
          <w:lang w:val="x-none" w:eastAsia="x-none"/>
        </w:rPr>
        <w:t>Chi xây dựng chương trình, giáo trình, tài liệu tập huấn, bồi dưỡng chuyên môn nghiệp vụ: Theo quy định tại hông tư số </w:t>
      </w:r>
      <w:hyperlink r:id="rId10" w:tgtFrame="_blank" w:tooltip="Thông tư 76/2018/TT-BTC" w:history="1">
        <w:r w:rsidRPr="00600795">
          <w:rPr>
            <w:sz w:val="26"/>
            <w:szCs w:val="26"/>
            <w:lang w:val="x-none" w:eastAsia="x-none"/>
          </w:rPr>
          <w:t>76/2018/TT-BTC</w:t>
        </w:r>
      </w:hyperlink>
      <w:r w:rsidRPr="00600795">
        <w:rPr>
          <w:sz w:val="26"/>
          <w:szCs w:val="26"/>
          <w:lang w:val="x-none" w:eastAsia="x-none"/>
        </w:rPr>
        <w:t> ngày 17 tháng 8 năm 2018 của Bộ Tài chính hướng dẫn nội dung, mức chi xây dựng chương trình đào tạo, biên soạn giáo trình môn học đối với giáo dục đại học, giáo dục nghề nghiệp</w:t>
      </w:r>
      <w:r w:rsidRPr="00600795">
        <w:rPr>
          <w:sz w:val="26"/>
          <w:szCs w:val="26"/>
          <w:lang w:val="x-none"/>
        </w:rPr>
        <w:t>. Trường hợp xây dựng sổ tay hướng dẫn nghiệp vụ, mức chi theo thực tế được cấp có thẩm quyền phê duyệt, trong phạm vi dự toán được giao.</w:t>
      </w:r>
    </w:p>
    <w:p w:rsidR="00435F82" w:rsidRPr="00600795" w:rsidRDefault="00435F82" w:rsidP="00435F82">
      <w:pPr>
        <w:pStyle w:val="BodyTextIndent"/>
        <w:numPr>
          <w:ilvl w:val="0"/>
          <w:numId w:val="1"/>
        </w:numPr>
        <w:spacing w:before="120"/>
        <w:ind w:left="0" w:firstLine="357"/>
        <w:rPr>
          <w:szCs w:val="26"/>
        </w:rPr>
      </w:pPr>
      <w:r w:rsidRPr="00600795">
        <w:rPr>
          <w:szCs w:val="26"/>
        </w:rPr>
        <w:t xml:space="preserve">Chi đào tạo, bồi dưỡng, tập huấn chuyên môn nghiệp vụ: Theo quy định tại Thông tư số </w:t>
      </w:r>
      <w:hyperlink r:id="rId11" w:tgtFrame="_blank" w:tooltip="Thông tư 36/2018/TT-BTC" w:history="1">
        <w:r w:rsidRPr="00600795">
          <w:rPr>
            <w:szCs w:val="26"/>
          </w:rPr>
          <w:t>36/2018/TT-BTC</w:t>
        </w:r>
      </w:hyperlink>
      <w:r w:rsidRPr="00600795">
        <w:rPr>
          <w:szCs w:val="26"/>
        </w:rPr>
        <w:t> ngày 30 tháng 3 năm 2018 của Bộ Tài chính hướng dẫn việc lập dự toán, quản lý, sử dụng và quyết toán kinh phí dành cho công tác đào tạo, bồi dưỡng cán bộ, công chức, viên chức.</w:t>
      </w:r>
    </w:p>
    <w:p w:rsidR="00435F82" w:rsidRPr="00600795" w:rsidRDefault="00435F82" w:rsidP="00435F82">
      <w:pPr>
        <w:pStyle w:val="BodyTextIndent"/>
        <w:numPr>
          <w:ilvl w:val="0"/>
          <w:numId w:val="1"/>
        </w:numPr>
        <w:spacing w:before="120"/>
        <w:ind w:left="0" w:firstLine="357"/>
        <w:rPr>
          <w:szCs w:val="26"/>
          <w:lang w:val="en-US"/>
        </w:rPr>
      </w:pPr>
      <w:r w:rsidRPr="00600795">
        <w:rPr>
          <w:szCs w:val="26"/>
        </w:rPr>
        <w:t>Chi công tác phí, hội nghị, hội thảo, tập huấn: Theo quy định tại Thông tư số </w:t>
      </w:r>
      <w:hyperlink r:id="rId12" w:tgtFrame="_blank" w:tooltip="Thông tư 40/2017/TT-BTC" w:history="1">
        <w:r w:rsidRPr="00600795">
          <w:rPr>
            <w:szCs w:val="26"/>
          </w:rPr>
          <w:t>40/2017/TT-BTC</w:t>
        </w:r>
      </w:hyperlink>
      <w:r w:rsidRPr="00600795">
        <w:rPr>
          <w:szCs w:val="26"/>
        </w:rPr>
        <w:t> ngày 28 tháng 4 năm 2017 của Bộ Tài chính quy định chế độ công tác phí, chế độ chi hội nghị</w:t>
      </w:r>
      <w:r w:rsidRPr="00600795">
        <w:rPr>
          <w:szCs w:val="26"/>
          <w:lang w:val="en-US"/>
        </w:rPr>
        <w:t>.</w:t>
      </w:r>
    </w:p>
    <w:p w:rsidR="00435F82" w:rsidRPr="00600795" w:rsidRDefault="00435F82" w:rsidP="00435F82">
      <w:pPr>
        <w:pStyle w:val="BodyTextIndent"/>
        <w:numPr>
          <w:ilvl w:val="0"/>
          <w:numId w:val="1"/>
        </w:numPr>
        <w:spacing w:before="120"/>
        <w:ind w:left="0" w:firstLine="357"/>
        <w:rPr>
          <w:szCs w:val="26"/>
          <w:lang w:val="en-US"/>
        </w:rPr>
      </w:pPr>
      <w:r w:rsidRPr="00600795">
        <w:rPr>
          <w:szCs w:val="26"/>
          <w:lang w:val="vi-VN"/>
        </w:rPr>
        <w:t>Chi tổ chức các cuộc thi về tiết kiệm năng lượng thực hiện theo</w:t>
      </w:r>
      <w:r w:rsidRPr="00600795">
        <w:rPr>
          <w:szCs w:val="26"/>
          <w:lang w:val="en-US"/>
        </w:rPr>
        <w:t xml:space="preserve"> quy định tại T</w:t>
      </w:r>
      <w:r w:rsidRPr="00600795">
        <w:rPr>
          <w:szCs w:val="26"/>
          <w:lang w:val="vi-VN"/>
        </w:rPr>
        <w:t xml:space="preserve">hông tư </w:t>
      </w:r>
      <w:r w:rsidRPr="00600795">
        <w:rPr>
          <w:szCs w:val="26"/>
          <w:lang w:val="en-US"/>
        </w:rPr>
        <w:t>số 27/2018/TT-BTC</w:t>
      </w:r>
      <w:r w:rsidRPr="00600795">
        <w:rPr>
          <w:szCs w:val="26"/>
          <w:lang w:val="vi-VN"/>
        </w:rPr>
        <w:t xml:space="preserve"> ngày 21</w:t>
      </w:r>
      <w:r w:rsidRPr="00600795">
        <w:rPr>
          <w:szCs w:val="26"/>
        </w:rPr>
        <w:t xml:space="preserve"> tháng </w:t>
      </w:r>
      <w:r w:rsidRPr="00600795">
        <w:rPr>
          <w:szCs w:val="26"/>
          <w:lang w:val="vi-VN"/>
        </w:rPr>
        <w:t>3</w:t>
      </w:r>
      <w:r w:rsidRPr="00600795">
        <w:rPr>
          <w:szCs w:val="26"/>
        </w:rPr>
        <w:t xml:space="preserve"> năm </w:t>
      </w:r>
      <w:r w:rsidRPr="00600795">
        <w:rPr>
          <w:szCs w:val="26"/>
          <w:lang w:val="vi-VN"/>
        </w:rPr>
        <w:t>2018 của Bộ Tài chính</w:t>
      </w:r>
      <w:r w:rsidRPr="00600795">
        <w:rPr>
          <w:szCs w:val="26"/>
          <w:lang w:val="en-US"/>
        </w:rPr>
        <w:t xml:space="preserve"> Quy định chế độ tài chính cho hoạt động tổ chức giải thưởng sáng tạo khoa học công nghệ Việt Nam, Hội thi sáng tạo kỹ thuật và cuộc thi sán</w:t>
      </w:r>
      <w:r>
        <w:rPr>
          <w:szCs w:val="26"/>
          <w:lang w:val="en-US"/>
        </w:rPr>
        <w:t>g tạo Thanh Thiếu niên Nhi đồng.</w:t>
      </w:r>
    </w:p>
    <w:p w:rsidR="00435F82" w:rsidRPr="00600795" w:rsidRDefault="00435F82" w:rsidP="00435F82">
      <w:pPr>
        <w:pStyle w:val="BodyTextIndent"/>
        <w:numPr>
          <w:ilvl w:val="0"/>
          <w:numId w:val="1"/>
        </w:numPr>
        <w:spacing w:before="120"/>
        <w:ind w:left="0" w:firstLine="357"/>
        <w:rPr>
          <w:szCs w:val="26"/>
        </w:rPr>
      </w:pPr>
      <w:r w:rsidRPr="00600795">
        <w:rPr>
          <w:szCs w:val="26"/>
        </w:rPr>
        <w:t xml:space="preserve">Chi tổ chức, tham gia hội trợ, triển lãm, </w:t>
      </w:r>
      <w:r w:rsidRPr="00600795">
        <w:rPr>
          <w:rFonts w:eastAsia="Cambria"/>
          <w:szCs w:val="26"/>
          <w:lang w:val="da-DK"/>
        </w:rPr>
        <w:t>triển khai hệ thống quảng bá, phân phối sản phẩm tiết kiệm năng lượng, thân thiện môi trường</w:t>
      </w:r>
      <w:r w:rsidRPr="00600795">
        <w:rPr>
          <w:szCs w:val="26"/>
        </w:rPr>
        <w:t>: Theo quy định tại Thông tư số </w:t>
      </w:r>
      <w:hyperlink r:id="rId13" w:tgtFrame="_blank" w:tooltip="Thông tư 40/2017/TT-BTC" w:history="1">
        <w:r w:rsidRPr="00600795">
          <w:rPr>
            <w:szCs w:val="26"/>
          </w:rPr>
          <w:t>171/2014/TT-BTC</w:t>
        </w:r>
      </w:hyperlink>
      <w:r w:rsidRPr="00600795">
        <w:rPr>
          <w:szCs w:val="26"/>
        </w:rPr>
        <w:t> ngày 14 tháng 11 năm 2014 của Bộ Tài chính Hướng dẫn cơ chế tài chính hỗ trợ từ ngân sách nhà nước để thực hiện Chương trì</w:t>
      </w:r>
      <w:r>
        <w:rPr>
          <w:szCs w:val="26"/>
        </w:rPr>
        <w:t>nh xúc tiến thương mại quốc gia.</w:t>
      </w:r>
    </w:p>
    <w:p w:rsidR="00435F82" w:rsidRPr="00600795" w:rsidRDefault="00435F82" w:rsidP="00435F82">
      <w:pPr>
        <w:pStyle w:val="BodyTextIndent"/>
        <w:numPr>
          <w:ilvl w:val="0"/>
          <w:numId w:val="1"/>
        </w:numPr>
        <w:spacing w:before="120"/>
        <w:ind w:left="0" w:firstLine="357"/>
        <w:rPr>
          <w:szCs w:val="26"/>
          <w:lang w:val="en-US"/>
        </w:rPr>
      </w:pPr>
      <w:r w:rsidRPr="00600795">
        <w:rPr>
          <w:szCs w:val="26"/>
          <w:lang w:val="en-US"/>
        </w:rPr>
        <w:lastRenderedPageBreak/>
        <w:t>Chi tuyên truyền trên các trang thông tin điện: Theo quy định tại thông tư số 194/2012/TT-BTC ngày 15 tháng 11 năm 2012 của Bộ Tài chính Hướng dẫn mức chi tạo thông tin điện tử nhằm duy trì hoạt động thường xuyên của các cơ quan, đơn vị sử dụng ngân sách nhà nước và Thông tư liên tịch số 19/2012/TTLT-BTC-BKHDT-BTTTT hướng dẫm quản lý và sử dụng kinh phí thực hiện Chương trình về ứng dụng công nghệ thông tin trong</w:t>
      </w:r>
      <w:r>
        <w:rPr>
          <w:szCs w:val="26"/>
          <w:lang w:val="en-US"/>
        </w:rPr>
        <w:t xml:space="preserve"> hoạt động của cơ quan nhà nước.</w:t>
      </w:r>
    </w:p>
    <w:p w:rsidR="00435F82" w:rsidRPr="00600795" w:rsidRDefault="00435F82" w:rsidP="00435F82">
      <w:pPr>
        <w:pStyle w:val="BodyTextIndent"/>
        <w:numPr>
          <w:ilvl w:val="0"/>
          <w:numId w:val="1"/>
        </w:numPr>
        <w:spacing w:before="120"/>
        <w:ind w:left="0" w:firstLine="357"/>
        <w:rPr>
          <w:szCs w:val="26"/>
          <w:lang w:val="en-US" w:eastAsia="en-US"/>
        </w:rPr>
      </w:pPr>
      <w:r w:rsidRPr="00600795">
        <w:rPr>
          <w:szCs w:val="26"/>
          <w:lang w:val="en-US"/>
        </w:rPr>
        <w:t xml:space="preserve">Chi nghiên cứu, ứng dụng trong lĩnh vực sử dụng năng lượng tiết kiệm và hiệu quả: Theo quy định tại </w:t>
      </w:r>
      <w:hyperlink r:id="rId14" w:anchor="dieu_7-6" w:tgtFrame="_blank" w:tooltip="Khoản 6 Điều 7 Thông tư liên tịch 55/2015/TTLT-BTC-BKHCN" w:history="1">
        <w:r w:rsidRPr="00600795">
          <w:rPr>
            <w:szCs w:val="26"/>
            <w:lang w:val="en-US" w:eastAsia="en-US"/>
          </w:rPr>
          <w:t>Thông tư liên tịch số 55/2015/TTLT-BTC-BKHCN</w:t>
        </w:r>
      </w:hyperlink>
      <w:r w:rsidRPr="00600795">
        <w:rPr>
          <w:szCs w:val="26"/>
          <w:lang w:val="en-US" w:eastAsia="en-US"/>
        </w:rPr>
        <w:t xml:space="preserve"> của Bộ Tài chính và Bộ Khoa học và Công nghệ hướng dẫn định mức xây dựng, phân bổ dự toán và quyết toán kinh phí đối với nhiệm vụ khoa học và công ngh</w:t>
      </w:r>
      <w:r>
        <w:rPr>
          <w:szCs w:val="26"/>
          <w:lang w:val="en-US" w:eastAsia="en-US"/>
        </w:rPr>
        <w:t>ệ có sử dụng ngân sách nhà nước.</w:t>
      </w:r>
    </w:p>
    <w:p w:rsidR="00435F82" w:rsidRPr="00600795" w:rsidRDefault="00435F82" w:rsidP="00435F82">
      <w:pPr>
        <w:numPr>
          <w:ilvl w:val="0"/>
          <w:numId w:val="1"/>
        </w:numPr>
        <w:spacing w:before="120" w:after="120"/>
        <w:ind w:left="0" w:firstLine="357"/>
        <w:jc w:val="both"/>
        <w:rPr>
          <w:sz w:val="26"/>
          <w:szCs w:val="26"/>
        </w:rPr>
      </w:pPr>
      <w:r w:rsidRPr="00600795">
        <w:rPr>
          <w:sz w:val="26"/>
          <w:szCs w:val="26"/>
          <w:lang w:val="vi-VN" w:eastAsia="x-none"/>
        </w:rPr>
        <w:t>Thuê chuyên gia trong nước và chuyên gia nước ngoài áp dụng theo Thông tư liên tịch số 55/2015/TTLT/BTC-BKHCN ngày 22/4/2015 của Bộ Tài chính, Bộ Khoa học và công nghệ hướng dẫn định mức xây dựng, phân bổ dự</w:t>
      </w:r>
      <w:r w:rsidRPr="00600795">
        <w:rPr>
          <w:sz w:val="26"/>
          <w:szCs w:val="26"/>
          <w:lang w:val="vi-VN"/>
        </w:rPr>
        <w:t xml:space="preserve"> toán và quyết toán kinh phí đối với nhiệm vụ khoa học và công nghệ có sử dụng ngân sách nhà nước</w:t>
      </w:r>
      <w:r w:rsidRPr="00600795">
        <w:rPr>
          <w:sz w:val="26"/>
          <w:szCs w:val="26"/>
        </w:rPr>
        <w:t>.</w:t>
      </w:r>
    </w:p>
    <w:p w:rsidR="00435F82" w:rsidRPr="008278CB" w:rsidRDefault="00435F82" w:rsidP="00435F82">
      <w:pPr>
        <w:numPr>
          <w:ilvl w:val="0"/>
          <w:numId w:val="1"/>
        </w:numPr>
        <w:spacing w:before="120" w:after="120"/>
        <w:ind w:left="0" w:firstLine="357"/>
        <w:jc w:val="both"/>
        <w:outlineLvl w:val="0"/>
        <w:rPr>
          <w:sz w:val="26"/>
          <w:szCs w:val="26"/>
        </w:rPr>
      </w:pPr>
      <w:r>
        <w:rPr>
          <w:sz w:val="26"/>
          <w:szCs w:val="26"/>
        </w:rPr>
        <w:t xml:space="preserve">Chi </w:t>
      </w:r>
      <w:r w:rsidRPr="008278CB">
        <w:rPr>
          <w:sz w:val="26"/>
          <w:szCs w:val="26"/>
        </w:rPr>
        <w:t xml:space="preserve">chế độ nhuận bút trong lĩnh vực báo chí, xuất bản </w:t>
      </w:r>
      <w:r>
        <w:rPr>
          <w:sz w:val="26"/>
          <w:szCs w:val="26"/>
        </w:rPr>
        <w:t xml:space="preserve">áp dụng </w:t>
      </w:r>
      <w:r w:rsidRPr="008278CB">
        <w:rPr>
          <w:sz w:val="26"/>
          <w:szCs w:val="26"/>
        </w:rPr>
        <w:t>Nghị định số 18/2014/NĐ-CP ngày 14 tháng 3 năm 2014 của Chính phủ quy định về chế độ nhuận bút trong lĩnh vực báo chí, xuất bản.</w:t>
      </w:r>
    </w:p>
    <w:p w:rsidR="00435F82" w:rsidRPr="008278CB" w:rsidRDefault="00435F82" w:rsidP="00435F82">
      <w:pPr>
        <w:numPr>
          <w:ilvl w:val="0"/>
          <w:numId w:val="1"/>
        </w:numPr>
        <w:spacing w:before="120" w:after="120"/>
        <w:ind w:left="0" w:firstLine="357"/>
        <w:jc w:val="both"/>
        <w:outlineLvl w:val="0"/>
        <w:rPr>
          <w:sz w:val="26"/>
          <w:szCs w:val="26"/>
        </w:rPr>
      </w:pPr>
      <w:r>
        <w:rPr>
          <w:sz w:val="26"/>
          <w:szCs w:val="26"/>
        </w:rPr>
        <w:t xml:space="preserve">Chi sản xuất chương trình truyền hình áp dụng </w:t>
      </w:r>
      <w:r w:rsidRPr="008278CB">
        <w:rPr>
          <w:sz w:val="26"/>
          <w:szCs w:val="26"/>
        </w:rPr>
        <w:t>Thông tư số 03/2018/TT-BTTTT ngày 20 tháng 4 năm 2018 ban hành định mức kinh tế-kỹ thuật về sản xuất chương trình truyền hình.</w:t>
      </w:r>
    </w:p>
    <w:p w:rsidR="00435F82" w:rsidRPr="008278CB" w:rsidRDefault="00435F82" w:rsidP="00435F82">
      <w:pPr>
        <w:numPr>
          <w:ilvl w:val="0"/>
          <w:numId w:val="1"/>
        </w:numPr>
        <w:spacing w:before="120" w:after="120"/>
        <w:ind w:left="0" w:firstLine="357"/>
        <w:jc w:val="both"/>
        <w:outlineLvl w:val="0"/>
        <w:rPr>
          <w:sz w:val="26"/>
          <w:szCs w:val="26"/>
        </w:rPr>
      </w:pPr>
      <w:r>
        <w:rPr>
          <w:sz w:val="26"/>
          <w:szCs w:val="26"/>
        </w:rPr>
        <w:t xml:space="preserve">Chi mức lương đối với chuyên gia tư vấn trong nước áp dụng </w:t>
      </w:r>
      <w:r w:rsidRPr="008278CB">
        <w:rPr>
          <w:sz w:val="26"/>
          <w:szCs w:val="26"/>
        </w:rPr>
        <w:t>Thông tư số 02/2015/BLĐTBXH quy đinh mức lương đối với chuyên gia tư vấn trong nước làm cơ sở dự toán gói thầu cung cấp dịch vụ tư vấn áp dụng hình thức hợp đồng theo thời gian sử dụng vốn nhà nước</w:t>
      </w:r>
      <w:r>
        <w:rPr>
          <w:sz w:val="26"/>
          <w:szCs w:val="26"/>
        </w:rPr>
        <w:t>.</w:t>
      </w:r>
    </w:p>
    <w:p w:rsidR="000A203A" w:rsidRDefault="000A203A">
      <w:bookmarkStart w:id="0" w:name="_GoBack"/>
      <w:bookmarkEnd w:id="0"/>
    </w:p>
    <w:sectPr w:rsidR="000A203A" w:rsidSect="00DC7FEF">
      <w:pgSz w:w="11907" w:h="16840" w:code="9"/>
      <w:pgMar w:top="1134" w:right="1134" w:bottom="1134" w:left="1701" w:header="720"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FEA" w:rsidRDefault="00B22FEA" w:rsidP="00435F82">
      <w:r>
        <w:separator/>
      </w:r>
    </w:p>
  </w:endnote>
  <w:endnote w:type="continuationSeparator" w:id="0">
    <w:p w:rsidR="00B22FEA" w:rsidRDefault="00B22FEA" w:rsidP="0043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FEA" w:rsidRDefault="00B22FEA" w:rsidP="00435F82">
      <w:r>
        <w:separator/>
      </w:r>
    </w:p>
  </w:footnote>
  <w:footnote w:type="continuationSeparator" w:id="0">
    <w:p w:rsidR="00B22FEA" w:rsidRDefault="00B22FEA" w:rsidP="00435F82">
      <w:r>
        <w:continuationSeparator/>
      </w:r>
    </w:p>
  </w:footnote>
  <w:footnote w:id="1">
    <w:p w:rsidR="00435F82" w:rsidRDefault="00435F82" w:rsidP="00435F82">
      <w:pPr>
        <w:pStyle w:val="FootnoteText"/>
      </w:pPr>
      <w:r>
        <w:rPr>
          <w:rStyle w:val="FootnoteReference"/>
        </w:rPr>
        <w:footnoteRef/>
      </w:r>
      <w:r>
        <w:t xml:space="preserve"> Số tháng thực hiện, từ tháng/năm đến tháng/năm.</w:t>
      </w:r>
    </w:p>
  </w:footnote>
  <w:footnote w:id="2">
    <w:p w:rsidR="00435F82" w:rsidRDefault="00435F82" w:rsidP="00435F82">
      <w:pPr>
        <w:pStyle w:val="FootnoteText"/>
      </w:pPr>
      <w:r>
        <w:rPr>
          <w:rStyle w:val="FootnoteReference"/>
        </w:rPr>
        <w:footnoteRef/>
      </w:r>
      <w:r>
        <w:t xml:space="preserve"> Gồm kinh phí tài trợ từ Chương trình và kinh phí tự có của đơn vị hoặc tài trợ hợp pháp từ tổ chức, các nhân khác.</w:t>
      </w:r>
    </w:p>
  </w:footnote>
  <w:footnote w:id="3">
    <w:p w:rsidR="00435F82" w:rsidRDefault="00435F82" w:rsidP="00435F82">
      <w:pPr>
        <w:pStyle w:val="FootnoteText"/>
      </w:pPr>
      <w:r>
        <w:rPr>
          <w:rStyle w:val="FootnoteReference"/>
        </w:rPr>
        <w:footnoteRef/>
      </w:r>
      <w:r>
        <w:t xml:space="preserve"> Cơ sở pháp lý dùng để xây dựng dự toán công việc của nhiệm vụ. Trong trường hợp chưa có căn cứ để xây dựng, kinh phí đề xuất dựa trên lập dự toán chi tiết.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431BC"/>
    <w:multiLevelType w:val="hybridMultilevel"/>
    <w:tmpl w:val="4EC8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82"/>
    <w:rsid w:val="000A203A"/>
    <w:rsid w:val="00435F82"/>
    <w:rsid w:val="00B22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61193-4653-4C1C-8ED2-3B857DA9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5F8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35F82"/>
    <w:pPr>
      <w:widowControl w:val="0"/>
      <w:tabs>
        <w:tab w:val="left" w:pos="720"/>
      </w:tabs>
      <w:spacing w:after="120"/>
      <w:ind w:left="360"/>
      <w:jc w:val="both"/>
    </w:pPr>
    <w:rPr>
      <w:sz w:val="26"/>
      <w:szCs w:val="24"/>
      <w:lang w:val="x-none" w:eastAsia="x-none"/>
    </w:rPr>
  </w:style>
  <w:style w:type="character" w:customStyle="1" w:styleId="BodyTextIndentChar">
    <w:name w:val="Body Text Indent Char"/>
    <w:basedOn w:val="DefaultParagraphFont"/>
    <w:link w:val="BodyTextIndent"/>
    <w:rsid w:val="00435F82"/>
    <w:rPr>
      <w:rFonts w:eastAsia="Times New Roman" w:cs="Times New Roman"/>
      <w:sz w:val="26"/>
      <w:szCs w:val="24"/>
      <w:lang w:val="x-none" w:eastAsia="x-none"/>
    </w:rPr>
  </w:style>
  <w:style w:type="paragraph" w:styleId="FootnoteText">
    <w:name w:val="footnote text"/>
    <w:basedOn w:val="Normal"/>
    <w:link w:val="FootnoteTextChar"/>
    <w:rsid w:val="00435F82"/>
    <w:rPr>
      <w:sz w:val="20"/>
      <w:szCs w:val="20"/>
    </w:rPr>
  </w:style>
  <w:style w:type="character" w:customStyle="1" w:styleId="FootnoteTextChar">
    <w:name w:val="Footnote Text Char"/>
    <w:basedOn w:val="DefaultParagraphFont"/>
    <w:link w:val="FootnoteText"/>
    <w:rsid w:val="00435F82"/>
    <w:rPr>
      <w:rFonts w:eastAsia="Times New Roman" w:cs="Times New Roman"/>
      <w:sz w:val="20"/>
      <w:szCs w:val="20"/>
    </w:rPr>
  </w:style>
  <w:style w:type="character" w:styleId="FootnoteReference">
    <w:name w:val="footnote reference"/>
    <w:rsid w:val="00435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thong-tu-lien-tich-145-2009-ttlt-btc-bkhcn-huong-dan-quan-ly-va-su-dung-kinh-phi-xay-dung-tieu-chuan-quoc-gia-va-quy-chuan-ky-thuat-91845.aspx" TargetMode="External"/><Relationship Id="rId13" Type="http://schemas.openxmlformats.org/officeDocument/2006/relationships/hyperlink" Target="https://thuvienphapluat.vn/van-ban/bo-may-hanh-chinh/thong-tu-40-2017-tt-btc-cong-tac-phi-chi-hoi-nghi-doi-voi-co-quan-nha-nuoc-su-nghiep-cong-lap-327960.aspx" TargetMode="External"/><Relationship Id="rId3" Type="http://schemas.openxmlformats.org/officeDocument/2006/relationships/settings" Target="settings.xml"/><Relationship Id="rId7" Type="http://schemas.openxmlformats.org/officeDocument/2006/relationships/hyperlink" Target="https://thuvienphapluat.vn/van-ban/tai-chinh-nha-nuoc/thong-tu-109-2016-tt-btc-lap-du-toan-su-dung-quyet-toan-kinh-phi-thuc-hien-dieu-tra-thong-ke-316840.aspx" TargetMode="External"/><Relationship Id="rId12" Type="http://schemas.openxmlformats.org/officeDocument/2006/relationships/hyperlink" Target="https://thuvienphapluat.vn/van-ban/bo-may-hanh-chinh/thong-tu-40-2017-tt-btc-cong-tac-phi-chi-hoi-nghi-doi-voi-co-quan-nha-nuoc-su-nghiep-cong-lap-327960.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bo-may-hanh-chinh/thong-tu-36-2018-tt-btc-huong-dan-lap-du-toan-quan-ly-kinh-phi-dao-tao-can-bo-cong-chuc-383277.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uvienphapluat.vn/van-ban/tai-chinh-nha-nuoc/thong-tu-76-2018-tt-btc-muc-chi-xay-dung-chuong-trinh-bien-soan-giao-trinh-giao-duc-dai-hoc-393221.aspx" TargetMode="External"/><Relationship Id="rId4" Type="http://schemas.openxmlformats.org/officeDocument/2006/relationships/webSettings" Target="webSettings.xml"/><Relationship Id="rId9" Type="http://schemas.openxmlformats.org/officeDocument/2006/relationships/hyperlink" Target="https://thuvienphapluat.vn/van-ban/cong-nghe-thong-tin/thong-tu-194-2012-tt-btc-huong-dan-muc-chi-tao-lap-thong-tin-dien-tu-152549.aspx" TargetMode="External"/><Relationship Id="rId14" Type="http://schemas.openxmlformats.org/officeDocument/2006/relationships/hyperlink" Target="https://thukyluat.vn/vb/thong-tu-55-2015-btc-bkhcn-du-toan-quyet-toan-kinh-phi-nhiem-vu-khcn-su-dung-ngan-sach-nha-nuoc-42b1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(Cao Thi Phuong Thao)</dc:creator>
  <cp:keywords/>
  <dc:description/>
  <cp:lastModifiedBy>Thao (Cao Thi Phuong Thao)</cp:lastModifiedBy>
  <cp:revision>1</cp:revision>
  <dcterms:created xsi:type="dcterms:W3CDTF">2020-05-05T03:48:00Z</dcterms:created>
  <dcterms:modified xsi:type="dcterms:W3CDTF">2020-05-05T03:50:00Z</dcterms:modified>
</cp:coreProperties>
</file>