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095"/>
      </w:tblGrid>
      <w:tr w:rsidR="00063898" w:rsidRPr="00D05A5B" w:rsidTr="009032F4">
        <w:tc>
          <w:tcPr>
            <w:tcW w:w="3681" w:type="dxa"/>
          </w:tcPr>
          <w:p w:rsidR="00063898" w:rsidRPr="00D05A5B" w:rsidRDefault="00063898" w:rsidP="009032F4">
            <w:pPr>
              <w:spacing w:before="120" w:after="0"/>
              <w:ind w:firstLine="0"/>
              <w:contextualSpacing w:val="0"/>
              <w:jc w:val="center"/>
              <w:rPr>
                <w:rFonts w:cs="Times New Roman"/>
                <w:b/>
                <w:bCs/>
                <w:sz w:val="26"/>
                <w:szCs w:val="26"/>
                <w:lang w:val="vi-VN"/>
              </w:rPr>
            </w:pPr>
            <w:r w:rsidRPr="00D05A5B">
              <w:rPr>
                <w:rFonts w:cs="Times New Roman"/>
                <w:b/>
                <w:bCs/>
                <w:sz w:val="26"/>
                <w:szCs w:val="26"/>
                <w:lang w:val="vi-VN"/>
              </w:rPr>
              <w:t>CHÍNH PHỦ</w:t>
            </w:r>
          </w:p>
          <w:p w:rsidR="00063898" w:rsidRPr="00D05A5B" w:rsidRDefault="00063898" w:rsidP="009032F4">
            <w:pPr>
              <w:spacing w:before="120" w:after="0"/>
              <w:ind w:firstLine="0"/>
              <w:contextualSpacing w:val="0"/>
              <w:jc w:val="center"/>
              <w:rPr>
                <w:rFonts w:cs="Times New Roman"/>
                <w:b/>
                <w:bCs/>
                <w:i/>
                <w:iCs/>
                <w:szCs w:val="28"/>
                <w:lang w:val="vi-VN"/>
              </w:rPr>
            </w:pPr>
            <w:r w:rsidRPr="00D05A5B">
              <w:rPr>
                <w:rFonts w:cs="Times New Roman"/>
                <w:noProof/>
                <w:szCs w:val="28"/>
              </w:rPr>
              <mc:AlternateContent>
                <mc:Choice Requires="wps">
                  <w:drawing>
                    <wp:anchor distT="0" distB="0" distL="114300" distR="114300" simplePos="0" relativeHeight="251660288" behindDoc="0" locked="0" layoutInCell="1" allowOverlap="1" wp14:anchorId="361371F6" wp14:editId="2307AB1B">
                      <wp:simplePos x="0" y="0"/>
                      <wp:positionH relativeFrom="column">
                        <wp:posOffset>908685</wp:posOffset>
                      </wp:positionH>
                      <wp:positionV relativeFrom="paragraph">
                        <wp:posOffset>57150</wp:posOffset>
                      </wp:positionV>
                      <wp:extent cx="361950" cy="0"/>
                      <wp:effectExtent l="0" t="0" r="19050" b="19050"/>
                      <wp:wrapNone/>
                      <wp:docPr id="1117877653" name="Straight Connector 2"/>
                      <wp:cNvGraphicFramePr/>
                      <a:graphic xmlns:a="http://schemas.openxmlformats.org/drawingml/2006/main">
                        <a:graphicData uri="http://schemas.microsoft.com/office/word/2010/wordprocessingShape">
                          <wps:wsp>
                            <wps:cNvCnPr/>
                            <wps:spPr>
                              <a:xfrm>
                                <a:off x="0" y="0"/>
                                <a:ext cx="361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75903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55pt,4.5pt" to="10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" strokecolor="black [3213]">
                      <v:stroke joinstyle="miter"/>
                    </v:line>
                  </w:pict>
                </mc:Fallback>
              </mc:AlternateContent>
            </w:r>
            <w:r w:rsidRPr="00D05A5B">
              <w:rPr>
                <w:rFonts w:cs="Times New Roman"/>
                <w:b/>
                <w:bCs/>
                <w:szCs w:val="28"/>
                <w:lang w:val="vi-VN"/>
              </w:rPr>
              <w:br/>
            </w:r>
            <w:r w:rsidRPr="00D05A5B">
              <w:rPr>
                <w:rFonts w:cs="Times New Roman"/>
                <w:szCs w:val="28"/>
                <w:lang w:val="vi-VN"/>
              </w:rPr>
              <w:t xml:space="preserve">Số:      </w:t>
            </w:r>
            <w:r w:rsidRPr="00D05A5B">
              <w:rPr>
                <w:rFonts w:cs="Times New Roman"/>
                <w:szCs w:val="28"/>
              </w:rPr>
              <w:t xml:space="preserve">  </w:t>
            </w:r>
            <w:r w:rsidRPr="00D05A5B">
              <w:rPr>
                <w:rFonts w:cs="Times New Roman"/>
                <w:szCs w:val="28"/>
                <w:lang w:val="vi-VN"/>
              </w:rPr>
              <w:t xml:space="preserve">    /</w:t>
            </w:r>
            <w:r w:rsidRPr="00D05A5B">
              <w:rPr>
                <w:rFonts w:cs="Times New Roman"/>
                <w:szCs w:val="28"/>
              </w:rPr>
              <w:t>2025/NĐ</w:t>
            </w:r>
            <w:r w:rsidRPr="00D05A5B">
              <w:rPr>
                <w:rFonts w:cs="Times New Roman"/>
                <w:szCs w:val="28"/>
                <w:lang w:val="vi-VN"/>
              </w:rPr>
              <w:t>-</w:t>
            </w:r>
            <w:r w:rsidRPr="00D05A5B">
              <w:rPr>
                <w:rFonts w:cs="Times New Roman"/>
                <w:szCs w:val="28"/>
              </w:rPr>
              <w:t>CP</w:t>
            </w:r>
            <w:r w:rsidRPr="00D05A5B">
              <w:rPr>
                <w:rFonts w:cs="Times New Roman"/>
                <w:szCs w:val="28"/>
                <w:lang w:val="vi-VN"/>
              </w:rPr>
              <w:br/>
            </w:r>
            <w:r w:rsidRPr="00D05A5B">
              <w:rPr>
                <w:rFonts w:cs="Times New Roman"/>
                <w:b/>
                <w:bCs/>
                <w:i/>
                <w:iCs/>
                <w:szCs w:val="28"/>
                <w:lang w:val="vi-VN"/>
              </w:rPr>
              <w:t>(Dự thảo</w:t>
            </w:r>
            <w:r>
              <w:rPr>
                <w:rFonts w:cs="Times New Roman"/>
                <w:b/>
                <w:bCs/>
                <w:i/>
                <w:iCs/>
                <w:szCs w:val="28"/>
              </w:rPr>
              <w:t xml:space="preserve"> 1</w:t>
            </w:r>
            <w:r w:rsidRPr="00D05A5B">
              <w:rPr>
                <w:rFonts w:cs="Times New Roman"/>
                <w:b/>
                <w:bCs/>
                <w:i/>
                <w:iCs/>
                <w:szCs w:val="28"/>
                <w:lang w:val="vi-VN"/>
              </w:rPr>
              <w:t>)</w:t>
            </w:r>
          </w:p>
        </w:tc>
        <w:tc>
          <w:tcPr>
            <w:tcW w:w="6095" w:type="dxa"/>
          </w:tcPr>
          <w:p w:rsidR="00063898" w:rsidRPr="00D05A5B" w:rsidRDefault="00063898" w:rsidP="009032F4">
            <w:pPr>
              <w:spacing w:before="120" w:after="0"/>
              <w:ind w:firstLine="0"/>
              <w:contextualSpacing w:val="0"/>
              <w:jc w:val="center"/>
              <w:rPr>
                <w:rFonts w:cs="Times New Roman"/>
                <w:b/>
                <w:bCs/>
                <w:sz w:val="26"/>
                <w:szCs w:val="26"/>
                <w:lang w:val="vi-VN"/>
              </w:rPr>
            </w:pPr>
            <w:r w:rsidRPr="00D05A5B">
              <w:rPr>
                <w:rFonts w:cs="Times New Roman"/>
                <w:b/>
                <w:bCs/>
                <w:sz w:val="26"/>
                <w:szCs w:val="26"/>
                <w:lang w:val="vi-VN"/>
              </w:rPr>
              <w:t>CỘNG HOÀ XÃ HỘI CHỦ NGHĨA VIỆT NAM</w:t>
            </w:r>
          </w:p>
          <w:p w:rsidR="00063898" w:rsidRPr="00D05A5B" w:rsidRDefault="00063898" w:rsidP="009032F4">
            <w:pPr>
              <w:spacing w:before="120" w:after="0"/>
              <w:ind w:firstLine="0"/>
              <w:contextualSpacing w:val="0"/>
              <w:jc w:val="center"/>
              <w:rPr>
                <w:rFonts w:cs="Times New Roman"/>
                <w:b/>
                <w:bCs/>
                <w:sz w:val="26"/>
                <w:szCs w:val="26"/>
                <w:lang w:val="vi-VN"/>
              </w:rPr>
            </w:pPr>
            <w:r w:rsidRPr="00D05A5B">
              <w:rPr>
                <w:rFonts w:cs="Times New Roman"/>
                <w:b/>
                <w:bCs/>
                <w:sz w:val="26"/>
                <w:szCs w:val="26"/>
                <w:lang w:val="vi-VN"/>
              </w:rPr>
              <w:t>Độc lập – Tự do – Hạnh phúc</w:t>
            </w:r>
          </w:p>
          <w:p w:rsidR="00063898" w:rsidRPr="00D05A5B" w:rsidRDefault="00063898" w:rsidP="009032F4">
            <w:pPr>
              <w:spacing w:before="120" w:after="0"/>
              <w:ind w:firstLine="0"/>
              <w:contextualSpacing w:val="0"/>
              <w:jc w:val="center"/>
              <w:rPr>
                <w:rFonts w:cs="Times New Roman"/>
                <w:b/>
                <w:bCs/>
                <w:szCs w:val="28"/>
                <w:lang w:val="vi-VN"/>
              </w:rPr>
            </w:pPr>
            <w:r w:rsidRPr="00D05A5B">
              <w:rPr>
                <w:rFonts w:cs="Times New Roman"/>
                <w:b/>
                <w:bCs/>
                <w:noProof/>
                <w:szCs w:val="28"/>
              </w:rPr>
              <mc:AlternateContent>
                <mc:Choice Requires="wps">
                  <w:drawing>
                    <wp:anchor distT="0" distB="0" distL="114300" distR="114300" simplePos="0" relativeHeight="251659264" behindDoc="0" locked="0" layoutInCell="1" allowOverlap="1" wp14:anchorId="783C023F" wp14:editId="312F2A1E">
                      <wp:simplePos x="0" y="0"/>
                      <wp:positionH relativeFrom="column">
                        <wp:posOffset>819150</wp:posOffset>
                      </wp:positionH>
                      <wp:positionV relativeFrom="paragraph">
                        <wp:posOffset>61595</wp:posOffset>
                      </wp:positionV>
                      <wp:extent cx="2124075" cy="0"/>
                      <wp:effectExtent l="0" t="0" r="28575" b="19050"/>
                      <wp:wrapNone/>
                      <wp:docPr id="1942652257" name="Straight Connector 1"/>
                      <wp:cNvGraphicFramePr/>
                      <a:graphic xmlns:a="http://schemas.openxmlformats.org/drawingml/2006/main">
                        <a:graphicData uri="http://schemas.microsoft.com/office/word/2010/wordprocessingShape">
                          <wps:wsp>
                            <wps:cNvCnPr/>
                            <wps:spPr>
                              <a:xfrm>
                                <a:off x="0" y="0"/>
                                <a:ext cx="21240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A1616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4.85pt" to="231.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" strokecolor="black [3213]">
                      <v:stroke joinstyle="miter"/>
                    </v:line>
                  </w:pict>
                </mc:Fallback>
              </mc:AlternateContent>
            </w:r>
          </w:p>
          <w:p w:rsidR="00063898" w:rsidRPr="00D05A5B" w:rsidRDefault="00063898" w:rsidP="009032F4">
            <w:pPr>
              <w:spacing w:before="120" w:after="0"/>
              <w:ind w:firstLine="0"/>
              <w:contextualSpacing w:val="0"/>
              <w:jc w:val="center"/>
              <w:rPr>
                <w:rFonts w:cs="Times New Roman"/>
                <w:i/>
                <w:iCs/>
                <w:szCs w:val="28"/>
                <w:lang w:val="vi-VN"/>
              </w:rPr>
            </w:pPr>
            <w:r w:rsidRPr="00D05A5B">
              <w:rPr>
                <w:rFonts w:cs="Times New Roman"/>
                <w:i/>
                <w:iCs/>
                <w:szCs w:val="28"/>
              </w:rPr>
              <w:t xml:space="preserve">          </w:t>
            </w:r>
            <w:r w:rsidRPr="00D05A5B">
              <w:rPr>
                <w:rFonts w:cs="Times New Roman"/>
                <w:i/>
                <w:iCs/>
                <w:szCs w:val="28"/>
                <w:lang w:val="vi-VN"/>
              </w:rPr>
              <w:t>Hà Nội, ngày       tháng       năm 2025</w:t>
            </w:r>
          </w:p>
        </w:tc>
      </w:tr>
    </w:tbl>
    <w:p w:rsidR="00063898" w:rsidRPr="00D05A5B" w:rsidRDefault="00063898" w:rsidP="00063898">
      <w:pPr>
        <w:spacing w:before="120" w:after="0" w:line="240" w:lineRule="auto"/>
        <w:contextualSpacing w:val="0"/>
        <w:jc w:val="center"/>
        <w:rPr>
          <w:rFonts w:cs="Times New Roman"/>
          <w:szCs w:val="28"/>
          <w:lang w:val="vi-VN"/>
        </w:rPr>
      </w:pPr>
    </w:p>
    <w:p w:rsidR="00063898" w:rsidRPr="008753D6" w:rsidRDefault="00063898" w:rsidP="00063898">
      <w:pPr>
        <w:spacing w:before="120" w:after="0" w:line="240" w:lineRule="auto"/>
        <w:contextualSpacing w:val="0"/>
        <w:jc w:val="center"/>
        <w:rPr>
          <w:rFonts w:cs="Times New Roman"/>
          <w:b/>
          <w:bCs/>
          <w:szCs w:val="28"/>
          <w:lang w:val="vi-VN"/>
        </w:rPr>
      </w:pPr>
      <w:r w:rsidRPr="008753D6">
        <w:rPr>
          <w:rFonts w:cs="Times New Roman"/>
          <w:b/>
          <w:bCs/>
          <w:szCs w:val="28"/>
          <w:lang w:val="vi-VN"/>
        </w:rPr>
        <w:t>NGHỊ ĐỊNH</w:t>
      </w:r>
    </w:p>
    <w:p w:rsidR="00063898" w:rsidRPr="008753D6" w:rsidRDefault="00063898" w:rsidP="00063898">
      <w:pPr>
        <w:spacing w:before="120" w:after="0" w:line="240" w:lineRule="auto"/>
        <w:contextualSpacing w:val="0"/>
        <w:jc w:val="center"/>
        <w:rPr>
          <w:rFonts w:cs="Times New Roman"/>
          <w:bCs/>
          <w:sz w:val="26"/>
          <w:szCs w:val="26"/>
          <w:lang w:val="vi-VN"/>
        </w:rPr>
      </w:pPr>
      <w:r w:rsidRPr="00D05A5B">
        <w:rPr>
          <w:rFonts w:cs="Times New Roman"/>
          <w:bCs/>
          <w:noProof/>
          <w:szCs w:val="28"/>
        </w:rPr>
        <mc:AlternateContent>
          <mc:Choice Requires="wps">
            <w:drawing>
              <wp:anchor distT="0" distB="0" distL="114300" distR="114300" simplePos="0" relativeHeight="251661312" behindDoc="0" locked="0" layoutInCell="1" allowOverlap="1" wp14:anchorId="796F84DB" wp14:editId="4648BC18">
                <wp:simplePos x="0" y="0"/>
                <wp:positionH relativeFrom="column">
                  <wp:posOffset>2120265</wp:posOffset>
                </wp:positionH>
                <wp:positionV relativeFrom="paragraph">
                  <wp:posOffset>878206</wp:posOffset>
                </wp:positionV>
                <wp:extent cx="1518920" cy="0"/>
                <wp:effectExtent l="0" t="0" r="24130" b="19050"/>
                <wp:wrapNone/>
                <wp:docPr id="1522789032" name="Straight Connector 2"/>
                <wp:cNvGraphicFramePr/>
                <a:graphic xmlns:a="http://schemas.openxmlformats.org/drawingml/2006/main">
                  <a:graphicData uri="http://schemas.microsoft.com/office/word/2010/wordprocessingShape">
                    <wps:wsp>
                      <wps:cNvCnPr/>
                      <wps:spPr>
                        <a:xfrm>
                          <a:off x="0" y="0"/>
                          <a:ext cx="15189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AAC9E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69.15pt" to="286.55pt,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" strokecolor="black [3213]">
                <v:stroke joinstyle="miter"/>
              </v:line>
            </w:pict>
          </mc:Fallback>
        </mc:AlternateContent>
      </w:r>
      <w:r w:rsidRPr="008753D6">
        <w:rPr>
          <w:rFonts w:cs="Times New Roman"/>
          <w:bCs/>
          <w:sz w:val="26"/>
          <w:szCs w:val="26"/>
          <w:lang w:val="vi-VN"/>
        </w:rPr>
        <w:t xml:space="preserve">QUY ĐỊNH CHI TIẾT KHOẢN 2 ĐIỀU 9, </w:t>
      </w:r>
      <w:r w:rsidRPr="008753D6">
        <w:rPr>
          <w:rFonts w:cs="Times New Roman"/>
          <w:bCs/>
          <w:color w:val="FF0000"/>
          <w:sz w:val="26"/>
          <w:szCs w:val="26"/>
          <w:lang w:val="vi-VN"/>
        </w:rPr>
        <w:t xml:space="preserve">KHOẢN 4 ĐIỀU 12 </w:t>
      </w:r>
      <w:r w:rsidRPr="008753D6">
        <w:rPr>
          <w:rFonts w:cs="Times New Roman"/>
          <w:bCs/>
          <w:sz w:val="26"/>
          <w:szCs w:val="26"/>
          <w:lang w:val="vi-VN"/>
        </w:rPr>
        <w:t>VÀ ĐIỀU 13 CỦA NGHỊ QUYẾT SỐ 250/2025/QH15 CỦA QUỐC HỘI VỀ MỘT SỐ CƠ CHẾ, CHÍNH SÁCH ĐẶC THÙ NHẰM NÂNG CAO HIỆU QUẢ HỘI NHẬP QUỐC TẾ</w:t>
      </w:r>
    </w:p>
    <w:p w:rsidR="00063898" w:rsidRPr="008753D6" w:rsidRDefault="00063898" w:rsidP="00063898">
      <w:pPr>
        <w:spacing w:before="120" w:after="0" w:line="240" w:lineRule="auto"/>
        <w:contextualSpacing w:val="0"/>
        <w:rPr>
          <w:rFonts w:cs="Times New Roman"/>
          <w:i/>
          <w:iCs/>
          <w:sz w:val="27"/>
          <w:szCs w:val="27"/>
          <w:lang w:val="vi-VN"/>
        </w:rPr>
      </w:pPr>
      <w:r w:rsidRPr="008753D6">
        <w:rPr>
          <w:rFonts w:cs="Times New Roman"/>
          <w:b/>
          <w:bCs/>
          <w:sz w:val="20"/>
          <w:szCs w:val="20"/>
          <w:lang w:val="vi-VN"/>
        </w:rPr>
        <w:br/>
      </w:r>
      <w:r w:rsidRPr="008753D6">
        <w:rPr>
          <w:rFonts w:cs="Times New Roman"/>
          <w:i/>
          <w:iCs/>
          <w:sz w:val="27"/>
          <w:szCs w:val="27"/>
          <w:lang w:val="vi-VN"/>
        </w:rPr>
        <w:t xml:space="preserve">            </w:t>
      </w:r>
    </w:p>
    <w:p w:rsidR="00063898" w:rsidRPr="008753D6" w:rsidRDefault="00063898" w:rsidP="00E73FB2">
      <w:pPr>
        <w:spacing w:before="120" w:after="0" w:line="288" w:lineRule="auto"/>
        <w:contextualSpacing w:val="0"/>
        <w:rPr>
          <w:rFonts w:cs="Times New Roman"/>
          <w:i/>
          <w:iCs/>
          <w:sz w:val="27"/>
          <w:szCs w:val="27"/>
          <w:lang w:val="vi-VN"/>
        </w:rPr>
      </w:pPr>
      <w:r w:rsidRPr="008753D6">
        <w:rPr>
          <w:rFonts w:cs="Times New Roman"/>
          <w:i/>
          <w:iCs/>
          <w:sz w:val="27"/>
          <w:szCs w:val="27"/>
          <w:lang w:val="vi-VN"/>
        </w:rPr>
        <w:t>Căn cứ Luật Tổ chức Chính phủ số 63/2025/QH15;</w:t>
      </w:r>
    </w:p>
    <w:p w:rsidR="00063898" w:rsidRPr="008753D6" w:rsidRDefault="00063898" w:rsidP="00E73FB2">
      <w:pPr>
        <w:spacing w:before="120" w:after="0" w:line="288" w:lineRule="auto"/>
        <w:contextualSpacing w:val="0"/>
        <w:rPr>
          <w:rFonts w:cs="Times New Roman"/>
          <w:i/>
          <w:iCs/>
          <w:sz w:val="27"/>
          <w:szCs w:val="27"/>
          <w:lang w:val="vi-VN"/>
        </w:rPr>
      </w:pPr>
      <w:r w:rsidRPr="008753D6">
        <w:rPr>
          <w:rFonts w:cs="Times New Roman"/>
          <w:i/>
          <w:iCs/>
          <w:sz w:val="27"/>
          <w:szCs w:val="27"/>
          <w:lang w:val="vi-VN"/>
        </w:rPr>
        <w:t>Căn cứ Nghị quyết số 250/2025/QH15 của Quốc hội về một số cơ chế, chính sách đặc thù nhằm nâng cao hiệu quả hội nhập quốc tế;</w:t>
      </w:r>
    </w:p>
    <w:p w:rsidR="00063898" w:rsidRPr="008753D6" w:rsidRDefault="00063898" w:rsidP="00E73FB2">
      <w:pPr>
        <w:spacing w:before="120" w:after="0" w:line="288" w:lineRule="auto"/>
        <w:contextualSpacing w:val="0"/>
        <w:rPr>
          <w:rFonts w:cs="Times New Roman"/>
          <w:i/>
          <w:iCs/>
          <w:sz w:val="27"/>
          <w:szCs w:val="27"/>
          <w:lang w:val="vi-VN"/>
        </w:rPr>
      </w:pPr>
      <w:r w:rsidRPr="008753D6">
        <w:rPr>
          <w:rFonts w:cs="Times New Roman"/>
          <w:i/>
          <w:iCs/>
          <w:sz w:val="27"/>
          <w:szCs w:val="27"/>
          <w:lang w:val="vi-VN"/>
        </w:rPr>
        <w:t>Theo đề nghị của Bộ trưởng Bộ Công Thương.</w:t>
      </w:r>
    </w:p>
    <w:p w:rsidR="00063898" w:rsidRPr="008753D6" w:rsidRDefault="00063898" w:rsidP="00E73FB2">
      <w:pPr>
        <w:spacing w:before="120" w:after="0" w:line="288" w:lineRule="auto"/>
        <w:contextualSpacing w:val="0"/>
        <w:rPr>
          <w:rFonts w:cs="Times New Roman"/>
          <w:i/>
          <w:iCs/>
          <w:sz w:val="27"/>
          <w:szCs w:val="27"/>
          <w:lang w:val="vi-VN"/>
        </w:rPr>
      </w:pPr>
      <w:r w:rsidRPr="008753D6">
        <w:rPr>
          <w:rFonts w:cs="Times New Roman"/>
          <w:i/>
          <w:iCs/>
          <w:sz w:val="27"/>
          <w:szCs w:val="27"/>
          <w:lang w:val="vi-VN"/>
        </w:rPr>
        <w:t>Chính phủ ban hành Nghị định quy định chi tiết khoản 2 Điều 9</w:t>
      </w:r>
      <w:r w:rsidRPr="008753D6">
        <w:rPr>
          <w:rFonts w:cs="Times New Roman"/>
          <w:bCs/>
          <w:color w:val="FF0000"/>
          <w:sz w:val="26"/>
          <w:szCs w:val="26"/>
          <w:lang w:val="vi-VN"/>
        </w:rPr>
        <w:t xml:space="preserve">, </w:t>
      </w:r>
      <w:r w:rsidRPr="008753D6">
        <w:rPr>
          <w:rFonts w:cs="Times New Roman"/>
          <w:bCs/>
          <w:i/>
          <w:color w:val="FF0000"/>
          <w:sz w:val="26"/>
          <w:szCs w:val="26"/>
          <w:lang w:val="vi-VN"/>
        </w:rPr>
        <w:t>khoản 4 Điều 12</w:t>
      </w:r>
      <w:r w:rsidRPr="008753D6">
        <w:rPr>
          <w:rFonts w:cs="Times New Roman"/>
          <w:i/>
          <w:iCs/>
          <w:sz w:val="27"/>
          <w:szCs w:val="27"/>
          <w:lang w:val="vi-VN"/>
        </w:rPr>
        <w:t xml:space="preserve"> và Điều 13 của Nghị quyết số 250/2025/QH15 của Quốc hội về một số cơ chế, chính sách đặc thù nhằm nâng cao hiệu quả hội nhập quốc tế.</w:t>
      </w:r>
    </w:p>
    <w:p w:rsidR="002B4B8A" w:rsidRDefault="002B4B8A" w:rsidP="00E73FB2">
      <w:pPr>
        <w:pStyle w:val="Heading1"/>
        <w:spacing w:before="120" w:line="288" w:lineRule="auto"/>
        <w:contextualSpacing w:val="0"/>
        <w:rPr>
          <w:rFonts w:eastAsia="Times New Roman"/>
        </w:rPr>
      </w:pPr>
    </w:p>
    <w:p w:rsidR="00063898" w:rsidRPr="00D05A5B" w:rsidRDefault="00063898" w:rsidP="00E73FB2">
      <w:pPr>
        <w:pStyle w:val="Heading1"/>
        <w:spacing w:before="120" w:line="288" w:lineRule="auto"/>
        <w:contextualSpacing w:val="0"/>
        <w:rPr>
          <w:rFonts w:eastAsia="Times New Roman"/>
        </w:rPr>
      </w:pPr>
      <w:r w:rsidRPr="00D05A5B">
        <w:rPr>
          <w:rFonts w:eastAsia="Times New Roman"/>
        </w:rPr>
        <w:t>Chương I</w:t>
      </w:r>
      <w:r w:rsidRPr="00D05A5B">
        <w:rPr>
          <w:rFonts w:eastAsia="Times New Roman"/>
        </w:rPr>
        <w:br/>
        <w:t>NHỮNG QUY ĐỊNH CHUNG</w:t>
      </w:r>
    </w:p>
    <w:p w:rsidR="00063898" w:rsidRDefault="00063898" w:rsidP="00E73FB2">
      <w:pPr>
        <w:spacing w:before="120" w:after="0" w:line="288" w:lineRule="auto"/>
        <w:contextualSpacing w:val="0"/>
        <w:rPr>
          <w:rFonts w:eastAsia="Times New Roman" w:cs="Times New Roman"/>
          <w:b/>
          <w:bCs/>
          <w:szCs w:val="28"/>
        </w:rPr>
      </w:pPr>
      <w:r w:rsidRPr="00D05A5B">
        <w:rPr>
          <w:rFonts w:eastAsia="Times New Roman" w:cs="Times New Roman"/>
          <w:b/>
          <w:bCs/>
          <w:szCs w:val="28"/>
        </w:rPr>
        <w:t xml:space="preserve">Điều 1. Phạm vi điều chỉnh </w:t>
      </w:r>
    </w:p>
    <w:p w:rsidR="00063898" w:rsidRDefault="00063898" w:rsidP="00E73FB2">
      <w:pPr>
        <w:spacing w:before="120" w:after="0" w:line="288" w:lineRule="auto"/>
        <w:contextualSpacing w:val="0"/>
      </w:pPr>
      <w:r w:rsidRPr="00D05A5B">
        <w:t xml:space="preserve">Nghị định này quy định </w:t>
      </w:r>
      <w:r w:rsidRPr="00D05A5B">
        <w:rPr>
          <w:rFonts w:cs="Times New Roman"/>
          <w:bCs/>
          <w:sz w:val="26"/>
          <w:szCs w:val="26"/>
        </w:rPr>
        <w:t xml:space="preserve">chi tiết </w:t>
      </w:r>
      <w:r>
        <w:rPr>
          <w:rFonts w:cs="Times New Roman"/>
          <w:bCs/>
          <w:sz w:val="26"/>
          <w:szCs w:val="26"/>
        </w:rPr>
        <w:t>khoản 2 Đ</w:t>
      </w:r>
      <w:r w:rsidRPr="00D05A5B">
        <w:rPr>
          <w:rFonts w:cs="Times New Roman"/>
          <w:bCs/>
          <w:sz w:val="26"/>
          <w:szCs w:val="26"/>
        </w:rPr>
        <w:t>iều 9</w:t>
      </w:r>
      <w:r>
        <w:rPr>
          <w:rFonts w:cs="Times New Roman"/>
          <w:bCs/>
          <w:sz w:val="26"/>
          <w:szCs w:val="26"/>
        </w:rPr>
        <w:t xml:space="preserve">, </w:t>
      </w:r>
      <w:r w:rsidRPr="00D02050">
        <w:rPr>
          <w:rFonts w:cs="Times New Roman"/>
          <w:bCs/>
          <w:color w:val="FF0000"/>
          <w:sz w:val="26"/>
          <w:szCs w:val="26"/>
        </w:rPr>
        <w:t>khoản 4 Điều 12</w:t>
      </w:r>
      <w:r>
        <w:rPr>
          <w:rFonts w:cs="Times New Roman"/>
          <w:bCs/>
          <w:sz w:val="26"/>
          <w:szCs w:val="26"/>
        </w:rPr>
        <w:t xml:space="preserve"> và Đ</w:t>
      </w:r>
      <w:r w:rsidRPr="00D05A5B">
        <w:rPr>
          <w:rFonts w:cs="Times New Roman"/>
          <w:bCs/>
          <w:sz w:val="26"/>
          <w:szCs w:val="26"/>
        </w:rPr>
        <w:t>iều 13 của nghị quyết số</w:t>
      </w:r>
      <w:r>
        <w:rPr>
          <w:rFonts w:cs="Times New Roman"/>
          <w:bCs/>
          <w:sz w:val="26"/>
          <w:szCs w:val="26"/>
        </w:rPr>
        <w:t xml:space="preserve"> 250/2025/QH</w:t>
      </w:r>
      <w:r w:rsidRPr="00D05A5B">
        <w:rPr>
          <w:rFonts w:cs="Times New Roman"/>
          <w:bCs/>
          <w:sz w:val="26"/>
          <w:szCs w:val="26"/>
        </w:rPr>
        <w:t>15 của quốc hội về một số cơ chế, chính sách đặc thù nhằm nâng cao hiệu quả hội nhập quốc tế</w:t>
      </w:r>
      <w:r w:rsidRPr="00D05A5B">
        <w:t>.</w:t>
      </w:r>
    </w:p>
    <w:p w:rsidR="00063898" w:rsidRPr="00D02050" w:rsidRDefault="00063898" w:rsidP="00E73FB2">
      <w:pPr>
        <w:spacing w:before="120" w:after="0" w:line="288" w:lineRule="auto"/>
        <w:contextualSpacing w:val="0"/>
        <w:rPr>
          <w:b/>
        </w:rPr>
      </w:pPr>
      <w:r w:rsidRPr="00D02050">
        <w:rPr>
          <w:b/>
        </w:rPr>
        <w:t>Điều 2. Đối tượng áp dụng</w:t>
      </w:r>
    </w:p>
    <w:p w:rsidR="00063898" w:rsidRDefault="00063898" w:rsidP="00E73FB2">
      <w:pPr>
        <w:spacing w:before="120" w:after="0" w:line="288" w:lineRule="auto"/>
        <w:contextualSpacing w:val="0"/>
      </w:pPr>
      <w:r w:rsidRPr="00D05A5B">
        <w:t xml:space="preserve">Nghị định này áp dụng đối với </w:t>
      </w:r>
      <w:r w:rsidRPr="00350351">
        <w:t xml:space="preserve">doanh nghiệp, hợp tác xã, hộ kinh doanh, </w:t>
      </w:r>
      <w:r w:rsidRPr="00D05A5B">
        <w:t>Hiệp hộ</w:t>
      </w:r>
      <w:r>
        <w:t xml:space="preserve">i ngành, </w:t>
      </w:r>
      <w:r w:rsidRPr="00350351">
        <w:t>nghề</w:t>
      </w:r>
      <w:r w:rsidRPr="00D05A5B">
        <w:t xml:space="preserve"> và các cơ quan, tổ chức, cá nhân có liên quan.</w:t>
      </w:r>
    </w:p>
    <w:p w:rsidR="00063898" w:rsidRPr="00526FEB" w:rsidRDefault="00063898" w:rsidP="00E73FB2">
      <w:pPr>
        <w:pStyle w:val="Heading2"/>
        <w:spacing w:before="120" w:line="288" w:lineRule="auto"/>
        <w:contextualSpacing w:val="0"/>
        <w:rPr>
          <w:rFonts w:eastAsia="Times New Roman" w:cs="Times New Roman"/>
          <w:color w:val="000000" w:themeColor="text1"/>
          <w:szCs w:val="28"/>
        </w:rPr>
      </w:pPr>
      <w:r w:rsidRPr="00526FEB">
        <w:rPr>
          <w:rFonts w:eastAsia="Times New Roman" w:cs="Times New Roman"/>
          <w:color w:val="000000" w:themeColor="text1"/>
          <w:szCs w:val="28"/>
        </w:rPr>
        <w:t>Điều 3. Giải thích từ ngữ</w:t>
      </w:r>
    </w:p>
    <w:p w:rsidR="00063898" w:rsidRPr="009877D7" w:rsidRDefault="00063898" w:rsidP="00E73FB2">
      <w:pPr>
        <w:spacing w:before="120" w:after="0" w:line="288" w:lineRule="auto"/>
        <w:contextualSpacing w:val="0"/>
        <w:rPr>
          <w:rFonts w:eastAsia="Times New Roman" w:cs="Times New Roman"/>
          <w:color w:val="000000" w:themeColor="text1"/>
          <w:szCs w:val="28"/>
        </w:rPr>
      </w:pPr>
      <w:r w:rsidRPr="00063898">
        <w:rPr>
          <w:rFonts w:eastAsia="Times New Roman" w:cs="Times New Roman"/>
          <w:color w:val="FF0000"/>
          <w:szCs w:val="28"/>
        </w:rPr>
        <w:t>Quỹ hỗ trợ phòng vệ thương mại là quỹ được sử dụng để hỗ trợ</w:t>
      </w:r>
      <w:r>
        <w:rPr>
          <w:rFonts w:eastAsia="Times New Roman" w:cs="Times New Roman"/>
          <w:color w:val="FF0000"/>
          <w:szCs w:val="28"/>
        </w:rPr>
        <w:t xml:space="preserve"> Hiệp hội ngành, nghề </w:t>
      </w:r>
      <w:r w:rsidRPr="00063898">
        <w:rPr>
          <w:rFonts w:eastAsia="Times New Roman" w:cs="Times New Roman"/>
          <w:color w:val="FF0000"/>
          <w:szCs w:val="28"/>
        </w:rPr>
        <w:t>tham gia các vụ kiện phòng vệ thương mại ở nước ngoài, bảo vệ quyền và lợi ích chính đáng của doanh nghiệp Việt Nam bị ảnh hưởng khi phía nước ngoài cáo buộc vận hành theo cơ chế kinh tế phi thị trường, phù hợp với các điều ước quốc tế mà nước Cộng hòa xã hội chủ nghĩa Việt Nam là thành viên.</w:t>
      </w:r>
    </w:p>
    <w:p w:rsidR="00063898" w:rsidRDefault="00063898" w:rsidP="00063898">
      <w:pPr>
        <w:spacing w:before="120" w:after="0" w:line="240" w:lineRule="auto"/>
        <w:contextualSpacing w:val="0"/>
        <w:jc w:val="center"/>
        <w:rPr>
          <w:b/>
        </w:rPr>
      </w:pPr>
      <w:r w:rsidRPr="00CB4FAA">
        <w:rPr>
          <w:b/>
        </w:rPr>
        <w:lastRenderedPageBreak/>
        <w:t>Chương II</w:t>
      </w:r>
    </w:p>
    <w:p w:rsidR="00063898" w:rsidRPr="00CB4FAA" w:rsidRDefault="00063898" w:rsidP="00063898">
      <w:pPr>
        <w:spacing w:before="120" w:after="0" w:line="240" w:lineRule="auto"/>
        <w:contextualSpacing w:val="0"/>
        <w:jc w:val="center"/>
        <w:rPr>
          <w:b/>
        </w:rPr>
      </w:pPr>
      <w:r>
        <w:rPr>
          <w:b/>
        </w:rPr>
        <w:t>QUY ĐỊNH CHI TIẾT KHOẢN 2 ĐIỀU 9</w:t>
      </w:r>
    </w:p>
    <w:p w:rsidR="009877D7" w:rsidRPr="00063898" w:rsidRDefault="009877D7" w:rsidP="009877D7">
      <w:pPr>
        <w:spacing w:before="120" w:after="0" w:line="240" w:lineRule="auto"/>
        <w:contextualSpacing w:val="0"/>
        <w:rPr>
          <w:rFonts w:eastAsia="Times New Roman" w:cs="Times New Roman"/>
          <w:b/>
          <w:color w:val="000000" w:themeColor="text1"/>
          <w:szCs w:val="28"/>
        </w:rPr>
      </w:pPr>
      <w:bookmarkStart w:id="0" w:name="_GoBack"/>
      <w:bookmarkEnd w:id="0"/>
      <w:r w:rsidRPr="00063898">
        <w:rPr>
          <w:rFonts w:eastAsia="Times New Roman" w:cs="Times New Roman"/>
          <w:b/>
          <w:color w:val="FF0000"/>
          <w:szCs w:val="28"/>
        </w:rPr>
        <w:t>Điều 4. Nguồn lực bảo đảm cho việc xây dựng, vận hành và duy trì Hệ sinh thái tận dụng các Hiệp định thương mại tự do (FTA)</w:t>
      </w:r>
    </w:p>
    <w:p w:rsidR="009877D7" w:rsidRPr="00526FEB" w:rsidRDefault="009877D7" w:rsidP="009877D7">
      <w:pPr>
        <w:spacing w:before="120" w:after="0" w:line="240" w:lineRule="auto"/>
        <w:contextualSpacing w:val="0"/>
        <w:rPr>
          <w:rFonts w:eastAsia="Times New Roman" w:cs="Times New Roman"/>
          <w:color w:val="000000" w:themeColor="text1"/>
          <w:szCs w:val="28"/>
        </w:rPr>
      </w:pPr>
      <w:r>
        <w:rPr>
          <w:rFonts w:eastAsia="Times New Roman" w:cs="Times New Roman"/>
          <w:color w:val="000000" w:themeColor="text1"/>
          <w:szCs w:val="28"/>
        </w:rPr>
        <w:t>1.</w:t>
      </w:r>
      <w:r w:rsidRPr="00526FEB">
        <w:rPr>
          <w:rFonts w:eastAsia="Times New Roman" w:cs="Times New Roman"/>
          <w:color w:val="000000" w:themeColor="text1"/>
          <w:szCs w:val="28"/>
        </w:rPr>
        <w:t xml:space="preserve"> Nguồn lực về cơ chế tạo thuận lợi và hỗ trợ, phục vụ việc tổ chức và vận hành Hệ sinh thái tận dụng các FTA.</w:t>
      </w:r>
    </w:p>
    <w:p w:rsidR="009877D7" w:rsidRPr="00526FEB" w:rsidRDefault="009877D7" w:rsidP="009877D7">
      <w:pPr>
        <w:spacing w:before="120" w:after="0" w:line="240" w:lineRule="auto"/>
        <w:contextualSpacing w:val="0"/>
        <w:rPr>
          <w:rFonts w:eastAsia="Times New Roman" w:cs="Times New Roman"/>
          <w:color w:val="000000" w:themeColor="text1"/>
          <w:szCs w:val="28"/>
        </w:rPr>
      </w:pPr>
      <w:r>
        <w:rPr>
          <w:rFonts w:eastAsia="Times New Roman" w:cs="Times New Roman"/>
          <w:color w:val="000000" w:themeColor="text1"/>
          <w:szCs w:val="28"/>
        </w:rPr>
        <w:t>2.</w:t>
      </w:r>
      <w:r w:rsidRPr="00526FEB">
        <w:rPr>
          <w:rFonts w:eastAsia="Times New Roman" w:cs="Times New Roman"/>
          <w:color w:val="000000" w:themeColor="text1"/>
          <w:szCs w:val="28"/>
        </w:rPr>
        <w:t xml:space="preserve"> Nguồn lực tài chính, bao gồm ngân sách nhà nước và các nguồn hợp pháp khác theo quy định của pháp luật.</w:t>
      </w:r>
    </w:p>
    <w:p w:rsidR="009877D7" w:rsidRPr="00526FEB" w:rsidRDefault="009877D7" w:rsidP="009877D7">
      <w:pPr>
        <w:spacing w:before="120" w:after="0" w:line="240" w:lineRule="auto"/>
        <w:contextualSpacing w:val="0"/>
        <w:rPr>
          <w:rFonts w:eastAsia="Times New Roman" w:cs="Times New Roman"/>
          <w:color w:val="000000" w:themeColor="text1"/>
          <w:szCs w:val="28"/>
        </w:rPr>
      </w:pPr>
      <w:r>
        <w:rPr>
          <w:rFonts w:eastAsia="Times New Roman" w:cs="Times New Roman"/>
          <w:color w:val="000000" w:themeColor="text1"/>
          <w:szCs w:val="28"/>
        </w:rPr>
        <w:t>3.</w:t>
      </w:r>
      <w:r w:rsidRPr="00526FEB">
        <w:rPr>
          <w:rFonts w:eastAsia="Times New Roman" w:cs="Times New Roman"/>
          <w:color w:val="000000" w:themeColor="text1"/>
          <w:szCs w:val="28"/>
        </w:rPr>
        <w:t xml:space="preserve"> Nguồn lực về thông tin, dữ liệu, hạ tầng công nghệ thông tin, các hệ thống, cơ sở vật chất phục vụ đánh giá sự phù hợp, tiêu chuẩn và quy chuẩn kỹ thuật, hỗ trợ doanh nghiệp tuân thủ các cam kết và quy định trong các hiệp định thương mại tự do.</w:t>
      </w:r>
    </w:p>
    <w:p w:rsidR="009877D7" w:rsidRDefault="009877D7" w:rsidP="009877D7">
      <w:pPr>
        <w:spacing w:before="120" w:after="0" w:line="240" w:lineRule="auto"/>
        <w:contextualSpacing w:val="0"/>
        <w:rPr>
          <w:rFonts w:eastAsia="Times New Roman" w:cs="Times New Roman"/>
          <w:color w:val="000000" w:themeColor="text1"/>
          <w:szCs w:val="28"/>
        </w:rPr>
      </w:pPr>
      <w:r>
        <w:rPr>
          <w:rFonts w:eastAsia="Times New Roman" w:cs="Times New Roman"/>
          <w:color w:val="000000" w:themeColor="text1"/>
          <w:szCs w:val="28"/>
        </w:rPr>
        <w:t>4.</w:t>
      </w:r>
      <w:r w:rsidRPr="00526FEB">
        <w:rPr>
          <w:rFonts w:eastAsia="Times New Roman" w:cs="Times New Roman"/>
          <w:color w:val="000000" w:themeColor="text1"/>
          <w:szCs w:val="28"/>
        </w:rPr>
        <w:t xml:space="preserve"> Nguồn nhân lực, bao gồm đội ngũ cán bộ, chuyên gia và các tổ chức tham gia xây dựng, vận hành và hỗ trợ hoạt động của Hệ sinh thái tận dụng các FTA.</w:t>
      </w:r>
    </w:p>
    <w:p w:rsidR="00063898" w:rsidRPr="00526FEB" w:rsidRDefault="00063898" w:rsidP="00063898">
      <w:pPr>
        <w:pStyle w:val="Heading2"/>
        <w:spacing w:before="120" w:line="240" w:lineRule="auto"/>
        <w:contextualSpacing w:val="0"/>
        <w:rPr>
          <w:rFonts w:cs="Times New Roman"/>
          <w:bCs/>
          <w:color w:val="000000" w:themeColor="text1"/>
          <w:szCs w:val="28"/>
        </w:rPr>
      </w:pPr>
      <w:r w:rsidRPr="00526FEB">
        <w:rPr>
          <w:rFonts w:cs="Times New Roman"/>
          <w:bCs/>
          <w:color w:val="000000" w:themeColor="text1"/>
          <w:szCs w:val="28"/>
        </w:rPr>
        <w:t xml:space="preserve">Điều </w:t>
      </w:r>
      <w:r w:rsidR="001A2C1E">
        <w:rPr>
          <w:rFonts w:cs="Times New Roman"/>
          <w:bCs/>
          <w:color w:val="000000" w:themeColor="text1"/>
          <w:szCs w:val="28"/>
        </w:rPr>
        <w:t>5</w:t>
      </w:r>
      <w:r w:rsidRPr="00526FEB">
        <w:rPr>
          <w:rFonts w:cs="Times New Roman"/>
          <w:bCs/>
          <w:color w:val="000000" w:themeColor="text1"/>
          <w:szCs w:val="28"/>
        </w:rPr>
        <w:t>. Nguyên tắc bảo đảm, quản lý và sử dụng các nguồn lực của Hệ sinh thái tận dụng các FTA</w:t>
      </w:r>
    </w:p>
    <w:p w:rsidR="00063898" w:rsidRPr="00526FEB" w:rsidRDefault="00063898" w:rsidP="00063898">
      <w:pPr>
        <w:spacing w:before="120" w:after="0" w:line="240" w:lineRule="auto"/>
        <w:contextualSpacing w:val="0"/>
        <w:rPr>
          <w:color w:val="000000" w:themeColor="text1"/>
          <w:szCs w:val="28"/>
        </w:rPr>
      </w:pPr>
      <w:r w:rsidRPr="00526FEB">
        <w:rPr>
          <w:rFonts w:cs="Times New Roman"/>
          <w:color w:val="000000" w:themeColor="text1"/>
          <w:szCs w:val="28"/>
        </w:rPr>
        <w:t>1. Việc thiết lập, quản lý và sử dụng các nguồn lực đảm bảo cho việc xây dựng và vận hành Hệ sinh thái tận dụng các FTA được thực hiện có trọng tâm, trọng điểm nhằm nâng cao hiệu quả tận dụng FTA, thúc đẩy xuất khẩu theo hướng giá trị gia tăng cao và phát triển bền vững.</w:t>
      </w:r>
    </w:p>
    <w:p w:rsidR="00063898" w:rsidRPr="00526FEB" w:rsidRDefault="00063898" w:rsidP="00063898">
      <w:pPr>
        <w:spacing w:before="120" w:after="0" w:line="240" w:lineRule="auto"/>
        <w:contextualSpacing w:val="0"/>
        <w:rPr>
          <w:color w:val="000000" w:themeColor="text1"/>
          <w:szCs w:val="28"/>
        </w:rPr>
      </w:pPr>
      <w:r w:rsidRPr="00526FEB">
        <w:rPr>
          <w:rFonts w:cs="Times New Roman"/>
          <w:color w:val="000000" w:themeColor="text1"/>
          <w:szCs w:val="28"/>
        </w:rPr>
        <w:t>2. Nguồn lực được huy động đa dạng từ ngân sách nhà nước, khu vực tư nhân và các nguồn lực quốc tế; việc sử dụng gắn với kết quả đầu ra và tác động lan tỏa theo ngành hàng, chuỗi giá trị.</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3. Cơ chế tạo thuận lợi và phân loại chủ thể tham gia được áp dụng trên cơ sở quản lý rủi ro, mức độ tuân thủ pháp luật, minh bạch thông tin và đáp ứng yêu cầu chuyển đổi số, chuyển đổi xanh.</w:t>
      </w:r>
    </w:p>
    <w:p w:rsidR="00063898"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4. Việc áp dụng cơ chế theo Nghị định này phải bảo đảm công khai, minh bạch, không phân biệt đối xử và phù hợp với quy định của pháp luật và cam kết quốc tế của Việt Nam.</w:t>
      </w:r>
    </w:p>
    <w:p w:rsidR="001A2C1E" w:rsidRDefault="001A2C1E" w:rsidP="001A2C1E">
      <w:pPr>
        <w:spacing w:before="120" w:after="0" w:line="240" w:lineRule="auto"/>
        <w:contextualSpacing w:val="0"/>
        <w:rPr>
          <w:rFonts w:eastAsia="Times New Roman" w:cs="Times New Roman"/>
          <w:b/>
          <w:color w:val="000000" w:themeColor="text1"/>
          <w:szCs w:val="28"/>
        </w:rPr>
      </w:pPr>
      <w:r w:rsidRPr="00BA2D9F">
        <w:rPr>
          <w:rFonts w:eastAsia="Times New Roman" w:cs="Times New Roman"/>
          <w:b/>
          <w:color w:val="FF0000"/>
          <w:szCs w:val="28"/>
        </w:rPr>
        <w:t>Điều 6.</w:t>
      </w:r>
      <w:r w:rsidR="00C10260" w:rsidRPr="00BA2D9F">
        <w:rPr>
          <w:rFonts w:eastAsia="Times New Roman" w:cs="Times New Roman"/>
          <w:b/>
          <w:color w:val="FF0000"/>
          <w:szCs w:val="28"/>
        </w:rPr>
        <w:t xml:space="preserve"> Đối tượng hưởng các</w:t>
      </w:r>
      <w:r w:rsidRPr="00BA2D9F">
        <w:rPr>
          <w:rFonts w:eastAsia="Times New Roman" w:cs="Times New Roman"/>
          <w:b/>
          <w:color w:val="FF0000"/>
          <w:szCs w:val="28"/>
        </w:rPr>
        <w:t xml:space="preserve"> </w:t>
      </w:r>
      <w:r w:rsidR="00C10260" w:rsidRPr="00BA2D9F">
        <w:rPr>
          <w:rFonts w:eastAsia="Times New Roman" w:cs="Times New Roman"/>
          <w:b/>
          <w:color w:val="FF0000"/>
          <w:szCs w:val="28"/>
        </w:rPr>
        <w:t>nguồn lực của Hệ sinh thái tận dụng các FTA</w:t>
      </w:r>
    </w:p>
    <w:p w:rsidR="001A2C1E" w:rsidRPr="00526FEB" w:rsidRDefault="001A2C1E" w:rsidP="001A2C1E">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Các </w:t>
      </w:r>
      <w:r w:rsidR="00787BE9">
        <w:rPr>
          <w:color w:val="000000" w:themeColor="text1"/>
          <w:sz w:val="28"/>
          <w:szCs w:val="28"/>
        </w:rPr>
        <w:t>d</w:t>
      </w:r>
      <w:r w:rsidRPr="00526FEB">
        <w:rPr>
          <w:color w:val="000000" w:themeColor="text1"/>
          <w:sz w:val="28"/>
          <w:szCs w:val="28"/>
        </w:rPr>
        <w:t>oanh nghiệp, hợp tác xã và hộ kinh doanh tham gia Hệ sinh thái tận dụng các FTA được hưởng các biện pháp hỗ trợ theo Nghị định này là các chủ thể đáp ứng các điều kiện sau:</w:t>
      </w:r>
    </w:p>
    <w:p w:rsidR="001A2C1E" w:rsidRPr="00526FEB" w:rsidRDefault="0080575F" w:rsidP="001A2C1E">
      <w:pPr>
        <w:pStyle w:val="NormalWeb"/>
        <w:spacing w:before="120" w:beforeAutospacing="0" w:after="0" w:afterAutospacing="0"/>
        <w:contextualSpacing w:val="0"/>
        <w:rPr>
          <w:color w:val="000000" w:themeColor="text1"/>
          <w:sz w:val="28"/>
          <w:szCs w:val="28"/>
        </w:rPr>
      </w:pPr>
      <w:r>
        <w:rPr>
          <w:color w:val="000000" w:themeColor="text1"/>
          <w:sz w:val="28"/>
          <w:szCs w:val="28"/>
        </w:rPr>
        <w:lastRenderedPageBreak/>
        <w:t>1.</w:t>
      </w:r>
      <w:r w:rsidR="001A2C1E" w:rsidRPr="00526FEB">
        <w:rPr>
          <w:color w:val="000000" w:themeColor="text1"/>
          <w:sz w:val="28"/>
          <w:szCs w:val="28"/>
        </w:rPr>
        <w:t xml:space="preserve"> Tuân thủ pháp luật về thuế, hải quan, thương mại và các quy định pháp luật có liên quan; không thuộc trường hợp vi phạm nghiêm trọng về gian lận thương mại hoặc gian lận xuất xứ theo quy định của pháp luật.</w:t>
      </w:r>
    </w:p>
    <w:p w:rsidR="001A2C1E" w:rsidRPr="00526FEB" w:rsidRDefault="0080575F" w:rsidP="001A2C1E">
      <w:pPr>
        <w:pStyle w:val="NormalWeb"/>
        <w:spacing w:before="120" w:beforeAutospacing="0" w:after="0" w:afterAutospacing="0"/>
        <w:contextualSpacing w:val="0"/>
        <w:rPr>
          <w:color w:val="000000" w:themeColor="text1"/>
          <w:sz w:val="28"/>
          <w:szCs w:val="28"/>
        </w:rPr>
      </w:pPr>
      <w:r>
        <w:rPr>
          <w:color w:val="000000" w:themeColor="text1"/>
          <w:sz w:val="28"/>
          <w:szCs w:val="28"/>
        </w:rPr>
        <w:t>2.</w:t>
      </w:r>
      <w:r w:rsidR="001A2C1E" w:rsidRPr="00526FEB">
        <w:rPr>
          <w:color w:val="000000" w:themeColor="text1"/>
          <w:sz w:val="28"/>
          <w:szCs w:val="28"/>
        </w:rPr>
        <w:t xml:space="preserve"> Đang tham gia hoặc có kế hoạch tham gia chuỗi giá trị gắn với việc tận dụng các hiệp định thương mại tự do, bao gồm hoạt động sản xuất, cung ứng, dịch vụ hỗ trợ hoặc xuất khẩu. </w:t>
      </w:r>
    </w:p>
    <w:p w:rsidR="001A2C1E" w:rsidRPr="00526FEB" w:rsidRDefault="0075562E" w:rsidP="001A2C1E">
      <w:pPr>
        <w:spacing w:before="120" w:after="0" w:line="240" w:lineRule="auto"/>
        <w:contextualSpacing w:val="0"/>
        <w:rPr>
          <w:color w:val="000000" w:themeColor="text1"/>
          <w:szCs w:val="28"/>
        </w:rPr>
      </w:pPr>
      <w:r>
        <w:rPr>
          <w:color w:val="000000" w:themeColor="text1"/>
          <w:szCs w:val="28"/>
        </w:rPr>
        <w:t>3.</w:t>
      </w:r>
      <w:r w:rsidR="001A2C1E" w:rsidRPr="00526FEB">
        <w:rPr>
          <w:color w:val="000000" w:themeColor="text1"/>
          <w:szCs w:val="28"/>
        </w:rPr>
        <w:t xml:space="preserve"> Cam kết nghiêm túc tuân thủ các quy định, nội quy của Hệ sinh thái tận dụng các FTA.</w:t>
      </w:r>
    </w:p>
    <w:p w:rsidR="00063898" w:rsidRPr="00526FEB" w:rsidRDefault="00063898" w:rsidP="00063898">
      <w:pPr>
        <w:pStyle w:val="Heading1"/>
        <w:spacing w:before="120" w:line="240" w:lineRule="auto"/>
        <w:ind w:firstLine="720"/>
        <w:contextualSpacing w:val="0"/>
        <w:jc w:val="both"/>
        <w:rPr>
          <w:rFonts w:cs="Times New Roman"/>
          <w:bCs/>
          <w:color w:val="000000" w:themeColor="text1"/>
          <w:szCs w:val="28"/>
        </w:rPr>
      </w:pPr>
      <w:r w:rsidRPr="00526FEB">
        <w:rPr>
          <w:rFonts w:cs="Times New Roman"/>
          <w:bCs/>
          <w:color w:val="000000" w:themeColor="text1"/>
          <w:szCs w:val="28"/>
        </w:rPr>
        <w:t xml:space="preserve">Điều </w:t>
      </w:r>
      <w:r w:rsidR="00FE3386">
        <w:rPr>
          <w:rFonts w:cs="Times New Roman"/>
          <w:bCs/>
          <w:color w:val="000000" w:themeColor="text1"/>
          <w:szCs w:val="28"/>
        </w:rPr>
        <w:t>7</w:t>
      </w:r>
      <w:r w:rsidRPr="00526FEB">
        <w:rPr>
          <w:rFonts w:cs="Times New Roman"/>
          <w:bCs/>
          <w:color w:val="000000" w:themeColor="text1"/>
          <w:szCs w:val="28"/>
        </w:rPr>
        <w:t>. Các cơ chế hỗ trợ doanh nghiệp, hợp tác xã và hộ kinh doanh tham gia Hệ sinh thái tận dụng các FTA</w:t>
      </w:r>
    </w:p>
    <w:p w:rsidR="00063898" w:rsidRPr="00526FEB" w:rsidRDefault="00063898" w:rsidP="00063898">
      <w:pPr>
        <w:pStyle w:val="Heading2"/>
        <w:spacing w:before="120" w:line="240" w:lineRule="auto"/>
        <w:contextualSpacing w:val="0"/>
        <w:rPr>
          <w:rFonts w:cs="Times New Roman"/>
          <w:b w:val="0"/>
          <w:bCs/>
          <w:color w:val="000000" w:themeColor="text1"/>
          <w:szCs w:val="28"/>
        </w:rPr>
      </w:pPr>
      <w:r w:rsidRPr="00526FEB">
        <w:rPr>
          <w:rFonts w:cs="Times New Roman"/>
          <w:b w:val="0"/>
          <w:bCs/>
          <w:color w:val="000000" w:themeColor="text1"/>
          <w:szCs w:val="28"/>
        </w:rPr>
        <w:t>1. Cơ chế tạo thuận lợi về thủ tục hành chính</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a) Được tự chứng nhận xuất xứ căn cứ theo cam kết quốc tế và phù hợp với quy định hiện hành; được ưu tiên về thời gian và thủ tục xử lý hồ sơ xin cấp chứng nhận xuất xứ để hưởng ưu đãi theo FTA.</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b) Được ưu tiên phân luồng xanh khi thực hiện thủ tục hải quan với điều kiện phải cam kết phối hợp đầy đủ với cơ quan hải quan khi có yêu cầu kiểm tra, hậu kiểm và hoàn toàn chịu trách nhiệm trước pháp luật về tính chính xác của thông tin đã khai báo.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c) Được ưu tiên khi thực hiện việc kiểm tra chuyên theo nguyên tắc quản lý rủi ro, giảm tần suất kiểm tra. </w:t>
      </w:r>
      <w:r w:rsidRPr="00526FEB">
        <w:rPr>
          <w:color w:val="000000" w:themeColor="text1"/>
          <w:lang w:eastAsia="ja-JP"/>
        </w:rPr>
        <w:t xml:space="preserve"> </w:t>
      </w:r>
      <w:r w:rsidRPr="00526FEB">
        <w:rPr>
          <w:color w:val="000000" w:themeColor="text1"/>
          <w:sz w:val="28"/>
          <w:szCs w:val="28"/>
        </w:rPr>
        <w:t>Tỷ lệ kiểm tra chuyên ngành không vượt quá 5% tổng số lô hàng trong năm, trừ trường hợp có dấu hiệu vi phạm hoặc theo yêu cầu quản lý đặc thù. Miễn kiểm tra chuyên ngành theo lô đối với hàng hóa đã được kiểm tra đạt yêu cầu liên tục và không có vi phạm trong thời gian 12 tháng liền kề.</w:t>
      </w:r>
    </w:p>
    <w:p w:rsidR="00063898" w:rsidRPr="00526FEB" w:rsidRDefault="00063898" w:rsidP="00063898">
      <w:pPr>
        <w:pStyle w:val="NormalWeb"/>
        <w:spacing w:before="120" w:beforeAutospacing="0" w:after="0" w:afterAutospacing="0"/>
        <w:contextualSpacing w:val="0"/>
        <w:rPr>
          <w:color w:val="000000" w:themeColor="text1"/>
          <w:sz w:val="28"/>
          <w:szCs w:val="28"/>
        </w:rPr>
      </w:pPr>
      <w:r>
        <w:rPr>
          <w:color w:val="000000" w:themeColor="text1"/>
          <w:sz w:val="28"/>
          <w:szCs w:val="28"/>
        </w:rPr>
        <w:t>d</w:t>
      </w:r>
      <w:r w:rsidRPr="00526FEB">
        <w:rPr>
          <w:color w:val="000000" w:themeColor="text1"/>
          <w:sz w:val="28"/>
          <w:szCs w:val="28"/>
        </w:rPr>
        <w:t>) Được ưu tiên về thời gian và thủ tục khi thực hiện hoàn thuế.</w:t>
      </w:r>
    </w:p>
    <w:p w:rsidR="00063898" w:rsidRPr="00526FEB" w:rsidRDefault="00063898" w:rsidP="00063898">
      <w:pPr>
        <w:pStyle w:val="Heading2"/>
        <w:spacing w:before="120" w:line="240" w:lineRule="auto"/>
        <w:contextualSpacing w:val="0"/>
        <w:rPr>
          <w:rFonts w:cs="Times New Roman"/>
          <w:b w:val="0"/>
          <w:color w:val="000000" w:themeColor="text1"/>
          <w:szCs w:val="28"/>
        </w:rPr>
      </w:pPr>
      <w:r w:rsidRPr="00526FEB">
        <w:rPr>
          <w:rFonts w:cs="Times New Roman"/>
          <w:b w:val="0"/>
          <w:color w:val="000000" w:themeColor="text1"/>
          <w:szCs w:val="28"/>
        </w:rPr>
        <w:t xml:space="preserve">2. Cơ chế hỗ trợ công nghệ </w:t>
      </w:r>
    </w:p>
    <w:p w:rsidR="00063898" w:rsidRPr="00526FEB" w:rsidRDefault="00063898" w:rsidP="00063898">
      <w:pPr>
        <w:spacing w:before="120" w:after="0" w:line="240" w:lineRule="auto"/>
        <w:contextualSpacing w:val="0"/>
        <w:rPr>
          <w:color w:val="000000" w:themeColor="text1"/>
          <w:szCs w:val="28"/>
        </w:rPr>
      </w:pPr>
      <w:bookmarkStart w:id="1" w:name="khoan_1_11"/>
      <w:r w:rsidRPr="00526FEB">
        <w:rPr>
          <w:color w:val="000000" w:themeColor="text1"/>
          <w:szCs w:val="28"/>
        </w:rPr>
        <w:t>a) Hỗ trợ tối đa 50% giá trị hợp đồng tư vấn giải pháp chuyển đổi số cho doanh nghiệp về quy trình kinh doanh, quy trình quản trị, quy trình sản xuất, quy trình công nghệ và chuyển đổi mô hình kinh doanh nhưng không quá 50 triệu đồng/hợp đồng/năm đối với doanh nghiệp nhỏ, hợp tác xã và hộ kinh doanh và không quá 100 triệu đồng/hợp đồng/năm đối với doanh nghiệp vừa.</w:t>
      </w:r>
      <w:bookmarkEnd w:id="1"/>
    </w:p>
    <w:p w:rsidR="00063898" w:rsidRPr="00526FEB" w:rsidRDefault="00063898" w:rsidP="00063898">
      <w:pPr>
        <w:spacing w:before="120" w:after="0" w:line="240" w:lineRule="auto"/>
        <w:contextualSpacing w:val="0"/>
        <w:rPr>
          <w:color w:val="000000" w:themeColor="text1"/>
          <w:szCs w:val="28"/>
        </w:rPr>
      </w:pPr>
      <w:bookmarkStart w:id="2" w:name="khoan_2_11"/>
      <w:r w:rsidRPr="00526FEB">
        <w:rPr>
          <w:color w:val="000000" w:themeColor="text1"/>
          <w:szCs w:val="28"/>
        </w:rPr>
        <w:t>b)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 triệu đồng/năm đối với doanh nghiệp siêu nhỏ; không quá 50 triệu đồng/năm đối với doanh nghiệp nhỏ, hợp tác xã và hộ kinh doanh và không quá 100 triệu đồng/năm đối với doanh nghiệp vừa.</w:t>
      </w:r>
      <w:bookmarkEnd w:id="2"/>
    </w:p>
    <w:p w:rsidR="00063898" w:rsidRPr="00526FEB" w:rsidRDefault="00063898" w:rsidP="00063898">
      <w:pPr>
        <w:spacing w:before="120" w:after="0" w:line="240" w:lineRule="auto"/>
        <w:contextualSpacing w:val="0"/>
        <w:rPr>
          <w:color w:val="000000" w:themeColor="text1"/>
          <w:szCs w:val="28"/>
        </w:rPr>
      </w:pPr>
      <w:bookmarkStart w:id="3" w:name="khoan_3_11"/>
      <w:r w:rsidRPr="00526FEB">
        <w:rPr>
          <w:color w:val="000000" w:themeColor="text1"/>
          <w:szCs w:val="28"/>
        </w:rPr>
        <w:t>c) Hỗ trợ tối đa 50% giá trị hợp đồng tư vấn xác lập quyền sở hữu trí tuệ; tư vấn quản lý và phát triển các sản phẩm, dịch vụ được bảo hộ quyền sở hữu trí tuệ của doanh nghiệp nhưng không quá 100 triệu đồng/hợp đồng/năm/doanh nghiệp.</w:t>
      </w:r>
      <w:bookmarkEnd w:id="3"/>
    </w:p>
    <w:p w:rsidR="00063898" w:rsidRPr="00526FEB" w:rsidRDefault="00063898" w:rsidP="00063898">
      <w:pPr>
        <w:spacing w:before="120" w:after="0" w:line="240" w:lineRule="auto"/>
        <w:contextualSpacing w:val="0"/>
        <w:rPr>
          <w:color w:val="000000" w:themeColor="text1"/>
          <w:szCs w:val="28"/>
        </w:rPr>
      </w:pPr>
      <w:bookmarkStart w:id="4" w:name="khoan_4_11"/>
      <w:r w:rsidRPr="00526FEB">
        <w:rPr>
          <w:color w:val="000000" w:themeColor="text1"/>
          <w:szCs w:val="28"/>
        </w:rPr>
        <w:t>d) Hỗ trợ tối đa 50% giá trị hợp đồng tư vấn chuyển giao công nghệ phù hợp với doanh nghiệp nhưng không quá 100 triệu đồng/hợp đồng/năm/doanh nghiệp.</w:t>
      </w:r>
      <w:bookmarkEnd w:id="4"/>
    </w:p>
    <w:p w:rsidR="00063898" w:rsidRPr="00526FEB" w:rsidRDefault="00063898" w:rsidP="00063898">
      <w:pPr>
        <w:pStyle w:val="Heading2"/>
        <w:spacing w:before="120" w:line="240" w:lineRule="auto"/>
        <w:contextualSpacing w:val="0"/>
        <w:rPr>
          <w:rFonts w:cs="Times New Roman"/>
          <w:b w:val="0"/>
          <w:color w:val="000000" w:themeColor="text1"/>
          <w:szCs w:val="28"/>
        </w:rPr>
      </w:pPr>
      <w:r w:rsidRPr="00526FEB">
        <w:rPr>
          <w:rFonts w:cs="Times New Roman"/>
          <w:b w:val="0"/>
          <w:color w:val="000000" w:themeColor="text1"/>
          <w:szCs w:val="28"/>
        </w:rPr>
        <w:t xml:space="preserve">4. Cơ chế hỗ trợ thông tin </w:t>
      </w:r>
    </w:p>
    <w:p w:rsidR="00063898" w:rsidRPr="00526FEB" w:rsidRDefault="00063898" w:rsidP="00063898">
      <w:pPr>
        <w:spacing w:before="120" w:after="0" w:line="240" w:lineRule="auto"/>
        <w:contextualSpacing w:val="0"/>
        <w:rPr>
          <w:color w:val="000000" w:themeColor="text1"/>
        </w:rPr>
      </w:pPr>
      <w:r w:rsidRPr="00526FEB">
        <w:rPr>
          <w:color w:val="000000" w:themeColor="text1"/>
        </w:rPr>
        <w:t xml:space="preserve">a) Hỗ trợ miễn phí truy cập các thông tin trên Cổng thông tin và trang thông tin điện tử của các Bộ, cơ quan thuộc Chính phủ và Ủy ban nhân dân cấp tỉnh theo quy định hiện hành. </w:t>
      </w:r>
    </w:p>
    <w:p w:rsidR="00063898" w:rsidRPr="00526FEB" w:rsidRDefault="00063898" w:rsidP="00063898">
      <w:pPr>
        <w:spacing w:before="120" w:after="0" w:line="240" w:lineRule="auto"/>
        <w:contextualSpacing w:val="0"/>
        <w:rPr>
          <w:color w:val="000000" w:themeColor="text1"/>
        </w:rPr>
      </w:pPr>
      <w:r w:rsidRPr="00526FEB">
        <w:rPr>
          <w:color w:val="000000" w:themeColor="text1"/>
        </w:rPr>
        <w:t xml:space="preserve">b) Hỗ trợ thông tin về thị trường xuất nhập khẩu, thông tin về các quy định, tiêu chuẩn tại các thị trường FTA. </w:t>
      </w:r>
    </w:p>
    <w:p w:rsidR="00063898" w:rsidRPr="00526FEB" w:rsidRDefault="00063898" w:rsidP="00063898">
      <w:pPr>
        <w:spacing w:before="120" w:after="0" w:line="240" w:lineRule="auto"/>
        <w:contextualSpacing w:val="0"/>
        <w:rPr>
          <w:color w:val="000000" w:themeColor="text1"/>
        </w:rPr>
      </w:pPr>
      <w:r w:rsidRPr="00526FEB">
        <w:rPr>
          <w:color w:val="000000" w:themeColor="text1"/>
        </w:rPr>
        <w:t xml:space="preserve">c) Hỗ trợ thông tin về các hoạt động xúc tiến thương mại, triển lãm, hội chợ tại các thị trường FTA. </w:t>
      </w:r>
    </w:p>
    <w:p w:rsidR="00063898" w:rsidRPr="00526FEB" w:rsidRDefault="00063898" w:rsidP="00063898">
      <w:pPr>
        <w:pStyle w:val="Heading2"/>
        <w:spacing w:before="120" w:line="240" w:lineRule="auto"/>
        <w:contextualSpacing w:val="0"/>
        <w:rPr>
          <w:rFonts w:cs="Times New Roman"/>
          <w:b w:val="0"/>
          <w:color w:val="000000" w:themeColor="text1"/>
          <w:szCs w:val="28"/>
        </w:rPr>
      </w:pPr>
      <w:r w:rsidRPr="00526FEB">
        <w:rPr>
          <w:rFonts w:cs="Times New Roman"/>
          <w:b w:val="0"/>
          <w:color w:val="000000" w:themeColor="text1"/>
          <w:szCs w:val="28"/>
        </w:rPr>
        <w:t>5. Cơ chế hỗ trợ tư vấn chuyên môn theo ngành và chuỗi giá trị</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Các doanh nghiệp, hợp tác xã và hộ kinh doanh là Thành viên tham gia Hệ sinh thái FTA tiếp cận mạng lưới tư vấn viên theo quy định của pháp luật để được hỗ trợ sử dụng dịch vụ tư vấn về nhân sự, sản xuất, bán hàng, thị trường, quản lý nội bộ và các nội dung khác liên quan đến hoạt động sản xuất – kinh doanh của doanh nghiệp được: </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a) Hỗ trợ 100% giá trị hợp đồng tư vấn nhưng không quá 50 triệu đồng/năm/chủ thể là doanh nghiệp siêu nhỏ, hợp tác xã và hộ kinh doanh hoặc không quá 70 triệu đồng/năm/chủ thể là đối với doanh nghiệp siêu nhỏ, hợp tác xã và hộ kinh doanh do phụ nữ làm chủ, doanh nghiệp siêu nhỏ sử dụng nhiều lao động nữ và doanh nghiệp siêu nhỏ là doanh nghiệp xã hội.</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 xml:space="preserve">b) Hỗ trợ tối đa 50% giá trị hợp đồng tư vấn nhưng không quá 100 triệu đồng/năm/chủ thể là doanh nghiệp nhỏ, hợp tác xã hoặc hộ kinh doanh hoặc không quá 150 triệu đồng/năm/chủ thể là đối với doanh nghiệp nhỏ, hợp tác xã hoặc hộ kinh doanh do phụ nữ làm chủ, doanh nghiệp nhỏ sử dụng nhiều lao động nữ và doanh nghiệp nhỏ là doanh nghiệp xã hội. </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c) Hỗ trợ tối đa 30% giá trị hợp đồng tư vấn nhưng không quá 150 triệu đồng/năm/doanh nghiệp đối với doanh nghiệp vừa hoặc không quá 200 triệu đồng/năm/doanh nghiệp đối với doanh nghiệp vừa do phụ nữ làm chủ, doanh nghiệp vừa sử dụng nhiều lao động nữ và doanh nghiệp vừa là doanh nghiệp xã hội.</w:t>
      </w:r>
    </w:p>
    <w:p w:rsidR="00063898" w:rsidRPr="00526FEB" w:rsidRDefault="00063898" w:rsidP="00063898">
      <w:pPr>
        <w:pStyle w:val="Heading2"/>
        <w:spacing w:before="120" w:line="240" w:lineRule="auto"/>
        <w:contextualSpacing w:val="0"/>
        <w:rPr>
          <w:rFonts w:cs="Times New Roman"/>
          <w:b w:val="0"/>
          <w:color w:val="000000" w:themeColor="text1"/>
          <w:szCs w:val="28"/>
        </w:rPr>
      </w:pPr>
      <w:r w:rsidRPr="00526FEB">
        <w:rPr>
          <w:rFonts w:cs="Times New Roman"/>
          <w:b w:val="0"/>
          <w:color w:val="000000" w:themeColor="text1"/>
          <w:szCs w:val="28"/>
        </w:rPr>
        <w:t>6. Cơ chế hỗ trợ nguồn nhân lực</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 xml:space="preserve">a) Hỗ trợ 100% tổng chi phí của một khóa đào tạo về khởi sự kinh doanh và tối đa 70% tổng chi phí của một khoá quản trị doanh nghiệp cho doanh nghiệp nhỏ và vừa, hợp tác xã và hộ kinh doanh. </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b) Miễn học phí cho học viên của doanh nghiệp nhỏ và vừa, hợp tác xã và hộ kinh doanh thuộc địa bàn kinh tế - xã hội đặc biệt khó khăn, doanh nghiệp nhỏ và vừa do phụ nữ làm chủ, doanh nghiệp nhỏ và vừa, hợp tác xã và hộ kinh doanh sử dụng nhiều lao động nữ và doanh nghiệp nhỏ và vừa là doanh nghiệp xã hội khi tham gia khóa đào tạo quản trị doanh nghiệp.</w:t>
      </w:r>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c) Hỗ trợ tối đa 70% tổng chi phí của một khóa đào tạo tại doanh nghiệp nhỏ và vừa nhưng không quá 01 khoá/năm/doanh nghiệp.</w:t>
      </w:r>
    </w:p>
    <w:p w:rsidR="00063898" w:rsidRPr="00526FEB" w:rsidRDefault="00063898" w:rsidP="00063898">
      <w:pPr>
        <w:spacing w:before="120" w:after="0" w:line="240" w:lineRule="auto"/>
        <w:contextualSpacing w:val="0"/>
        <w:rPr>
          <w:color w:val="000000" w:themeColor="text1"/>
          <w:szCs w:val="28"/>
        </w:rPr>
      </w:pPr>
      <w:bookmarkStart w:id="5" w:name="diem_b_3_14"/>
      <w:r w:rsidRPr="00526FEB">
        <w:rPr>
          <w:color w:val="000000" w:themeColor="text1"/>
          <w:szCs w:val="28"/>
        </w:rPr>
        <w:t>d) Hỗ trợ 100% tổng chi phí của một khoá đào tạo tại doanh nghiệp nhỏ và vừa do phụ nữ làm chủ, doanh nghiệp nhỏ và vừa sử dụng nhiều lao động nữ và doanh nghiệp nhỏ và vừa là doanh nghiệp xã hội nhưng không quá 01 khoá/năm/doanh nghiệp.</w:t>
      </w:r>
      <w:bookmarkEnd w:id="5"/>
    </w:p>
    <w:p w:rsidR="00063898" w:rsidRPr="00526FEB" w:rsidRDefault="00063898" w:rsidP="00063898">
      <w:pPr>
        <w:spacing w:before="120" w:after="0" w:line="240" w:lineRule="auto"/>
        <w:contextualSpacing w:val="0"/>
        <w:rPr>
          <w:color w:val="000000" w:themeColor="text1"/>
          <w:szCs w:val="28"/>
        </w:rPr>
      </w:pPr>
      <w:r w:rsidRPr="00526FEB">
        <w:rPr>
          <w:color w:val="000000" w:themeColor="text1"/>
          <w:szCs w:val="28"/>
        </w:rPr>
        <w:t>đ) Hỗ trợ chi phí đào tạo cho người lao động của doanh nghiệp nhỏ và vừa, hợp tác xã và hộ kinh doanh khi tham gia khóa đào tạo nghề trình độ sơ cấp hoặc chương trình đào tạo từ 03 tháng trở xuống. Các chi phí còn lại do doanh nghiệp nhỏ và vừa, hợp tác xã và hộ kinh doanh và người lao động thỏa thuận. Người lao động tham gia khóa đào tạo phải đáp ứng điều kiện đã làm việc trong doanh nghiệp nhỏ và vừa, hợp tác xã và hộ kinh doanh tối thiểu 06 tháng liên tục trước khi tham gia khoá đào tạo.</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e) Hỗ trợ tối đa 50% chi phí tổ chức khóa đào tạo nâng cao trình độ công nghệ, kỹ thuật sản xuất chuyên sâu tại doanh nghiệp, hợp tác xã và hộ kinh doanh nhưng không quá 50 triệu đồng/khoá/năm/doanh nghiệp.</w:t>
      </w:r>
    </w:p>
    <w:p w:rsidR="00063898" w:rsidRPr="00526FEB" w:rsidRDefault="00063898" w:rsidP="00063898">
      <w:pPr>
        <w:spacing w:before="120" w:after="0" w:line="240" w:lineRule="auto"/>
        <w:contextualSpacing w:val="0"/>
        <w:rPr>
          <w:color w:val="000000" w:themeColor="text1"/>
          <w:szCs w:val="24"/>
        </w:rPr>
      </w:pPr>
      <w:bookmarkStart w:id="6" w:name="diem_b_1_25"/>
      <w:r w:rsidRPr="00526FEB">
        <w:rPr>
          <w:color w:val="000000" w:themeColor="text1"/>
          <w:szCs w:val="24"/>
        </w:rPr>
        <w:t>f) Hỗ trợ tối đa 50% chi phí đào tạo cho học viên của doanh nghiệp, hợp tác xã và hộ kinh doanh khi tham gia các khóa đào tạo chuyên sâu theo nhu cầu phát triển của ngành, chuỗi giá trị nhưng không quá 10 triệu đồng/học viên/năm và không quá 03 học viên/doanh nghiệp/năm.</w:t>
      </w:r>
      <w:bookmarkEnd w:id="6"/>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7. Cơ chế hỗ trợ nâng cao năng lực liên kết sản xuất và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 xml:space="preserve">a) Hỗ trợ 100% giá trị hợp đồng tư vấn đánh giá toàn diện năng lực của chủ thể là doanh nghiệp nhỏ và vừa, hợp tác xã và hộ kinh doanh trong cụm liên kết ngành, chuỗi giá trị nhưng không quá 30 triệu đồng/hợp đồng/năm/chủ thể. </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 xml:space="preserve">b) Hỗ trợ 100% giá trị hợp đồng tư vấn cải tiến, nâng cấp kỹ thuật chuyên sâu cho chủ thể là doanh nghiệp nhỏ và vừa, hợp tác xã, hộ kinh doanh nhằm cải thiện năng lực sản xuất, đáp ứng yêu cầu kết nối, trở thành nhà cung cấp của doanh nghiệp đầu chuỗi nhưng không quá 100 triệu đồng/hợp đồng/năm/chủ thể. </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8. Cơ chế hỗ trợ phát triển thương hiệu, kết nối và mở rộng thị trường</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a) Hỗ trợ tối đa 50% giá trị hợp đồng tư vấn đăng ký thành công tài khoản bán sản phẩm, dịch vụ trên các sàn thương mại điện tử quốc tế nhưng không quá 100 triệu đồng/hợp đồng/năm/chủ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bookmarkStart w:id="7" w:name="diem_d_3_25"/>
      <w:r w:rsidRPr="00526FEB">
        <w:rPr>
          <w:color w:val="000000" w:themeColor="text1"/>
          <w:szCs w:val="24"/>
        </w:rPr>
        <w:t>b) Hỗ trợ tối đa 50% chi phí duy trì tài khoản trên các sàn thương mại điện tử trong nước và quốc tế nhưng không quá 50 triệu đồng/năm/doanh nghiệp và không quá 02 năm kể từ thời điểm doanh nghiệp, hợp tác xã và hộ kinh doanh đăng ký thành công tài khoản trên sàn thương mại điện tử quốc tế</w:t>
      </w:r>
      <w:bookmarkEnd w:id="7"/>
      <w:r w:rsidRPr="00526FEB">
        <w:rPr>
          <w:color w:val="000000" w:themeColor="text1"/>
          <w:szCs w:val="24"/>
        </w:rPr>
        <w:t>.</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c) Hỗ trợ chi phí thuê địa điểm, thiết kế và dàn dựng gian hàng, vận chuyển sản phẩm trưng bày, chi phí đi lại, chi phí ăn, ở cho đại diện của doanh nghiệp tham gia tại hội chợ triển lãm xúc tiến thương mại nhưng không quá 50 triệu đồng/năm/chủ thể là doanh nghiệp, hợp tác xã và hộ kinh doanh đối với sự kiện tổ chức trong nước và không quá 70 triệu đồng/năm/doanh nghiệp đối với sự kiện tổ chức ở nước ngoài.</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d) Hỗ trợ 100% giá trị hợp đồng tư vấn về thủ tục xác lập, chuyển giao, khai thác và bảo vệ quyền sở hữu trí tuệ ở trong nước nhưng không quá 50 triệu đồng/hợp đồng/năm/chủ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 xml:space="preserve">đ) </w:t>
      </w:r>
      <w:r>
        <w:rPr>
          <w:color w:val="000000" w:themeColor="text1"/>
          <w:szCs w:val="24"/>
        </w:rPr>
        <w:t>H</w:t>
      </w:r>
      <w:r w:rsidRPr="00526FEB">
        <w:rPr>
          <w:color w:val="000000" w:themeColor="text1"/>
          <w:szCs w:val="24"/>
        </w:rPr>
        <w:t>ỗ trợ 100% giá trị hợp đồng tư vấn tìm kiếm thông tin, quảng bá sản phẩm, phát triển thương hiệu cụm liên kết ngành và chuỗi giá trị nhưng không quá 20 triệu đồng/hợp đồng/năm/chủ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9. Cơ chế hỗ trợ tư vấn về tiêu chuẩn, quy chuẩn kỹ thuật, đo lường, chất lượng</w:t>
      </w:r>
    </w:p>
    <w:p w:rsidR="00063898" w:rsidRPr="00526FEB" w:rsidRDefault="00063898" w:rsidP="00063898">
      <w:pPr>
        <w:spacing w:before="120" w:after="0" w:line="240" w:lineRule="auto"/>
        <w:contextualSpacing w:val="0"/>
        <w:rPr>
          <w:color w:val="000000" w:themeColor="text1"/>
          <w:szCs w:val="24"/>
        </w:rPr>
      </w:pPr>
      <w:bookmarkStart w:id="8" w:name="diem_a_4_25"/>
      <w:r w:rsidRPr="00526FEB">
        <w:rPr>
          <w:color w:val="000000" w:themeColor="text1"/>
          <w:szCs w:val="24"/>
        </w:rPr>
        <w:t>a) Hỗ trợ 100% giá trị hợp đồng tư vấn để doanh nghiệp xây dựng và áp dụng tiêu chuẩn cơ sở nhưng không quá 10 triệu đồng/hợp đồng/năm/chủ thể là doanh nghiệp, hợp tác xã và hộ kinh doanh; hợp đồng tư vấn xây dựng, áp dụng hệ thống quản lý chất lượng nhưng không quá 50 triệu đồng/hợp đồng/năm/</w:t>
      </w:r>
      <w:bookmarkEnd w:id="8"/>
      <w:r w:rsidRPr="00526FEB">
        <w:rPr>
          <w:color w:val="000000" w:themeColor="text1"/>
          <w:szCs w:val="24"/>
        </w:rPr>
        <w:t xml:space="preserve"> 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b) Hỗ trợ tối đa 50% chi phí thử nghiệm mẫu phương tiện đo; chi phí kiểm định, hiệu chuẩn, thử nghiệm phương tiện đo, chuẩn đo lường; chi phí cấp dấu định lượng của hàng đóng gói sẵn phù hợp với yêu cầu kỹ thuật đo lường nhưng không quá 10 triệu đồng/năm/chủ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c</w:t>
      </w:r>
      <w:r>
        <w:rPr>
          <w:color w:val="000000" w:themeColor="text1"/>
          <w:szCs w:val="24"/>
        </w:rPr>
        <w:t>)</w:t>
      </w:r>
      <w:r w:rsidRPr="00526FEB">
        <w:rPr>
          <w:color w:val="000000" w:themeColor="text1"/>
          <w:szCs w:val="24"/>
        </w:rPr>
        <w:t xml:space="preserve"> Hỗ trợ 100% chi phí cấp chứng nhận sản phẩm phù hợp quy chuẩn kỹ thuật nhưng không quá 20 triệu đồng/sản phẩm/năm/ 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10. Cơ chế hỗ trợ thực hiện các thủ tục về sản xuất thử nghiệm, kiểm định, giám định, chứng nhận chất lượng</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a) H</w:t>
      </w:r>
      <w:r>
        <w:rPr>
          <w:color w:val="000000" w:themeColor="text1"/>
          <w:szCs w:val="24"/>
        </w:rPr>
        <w:t>ỗ</w:t>
      </w:r>
      <w:r w:rsidRPr="00526FEB">
        <w:rPr>
          <w:color w:val="000000" w:themeColor="text1"/>
          <w:szCs w:val="24"/>
        </w:rPr>
        <w:t xml:space="preserve"> trợ 100% chi phí thử nghiệm, kiểm định, giám định, chứng nhận chất lượng sản phẩm, hàng hóa; chi phí chứng nhận hệ thống quản lý chất lượng nhưng không quá 30 triệu đồng/năm/ 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b) Hỗ trợ tối đa 50% chi phí đặt hàng các cơ sở, viện, trường để nghiên cứu thử nghiệm phát triển các sản phẩm, dịch vụ nhưng không quá 30 triệu đồng/năm/ 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c) Hỗ trợ tối đa 50% chi phí sử dụng trang thiết bị tại cơ sở kỹ thuật hỗ trợ doanh nghiệp nhỏ và vừa nhưng không quá 50 triệu đồng/năm/ chủ thể là doanh nghiệp, hợp tác xã và hộ kinh doanh.</w:t>
      </w:r>
    </w:p>
    <w:p w:rsidR="00063898" w:rsidRPr="00526FEB" w:rsidRDefault="00063898" w:rsidP="00063898">
      <w:pPr>
        <w:spacing w:before="120" w:after="0" w:line="240" w:lineRule="auto"/>
        <w:contextualSpacing w:val="0"/>
        <w:rPr>
          <w:color w:val="000000" w:themeColor="text1"/>
          <w:szCs w:val="24"/>
        </w:rPr>
      </w:pPr>
      <w:r w:rsidRPr="00526FEB">
        <w:rPr>
          <w:color w:val="000000" w:themeColor="text1"/>
          <w:szCs w:val="24"/>
        </w:rPr>
        <w:t>11. Cơ chế hỗ trợ lãi suất</w:t>
      </w:r>
    </w:p>
    <w:p w:rsidR="00063898" w:rsidRPr="00526FEB" w:rsidRDefault="002474D8" w:rsidP="00063898">
      <w:pPr>
        <w:spacing w:before="120" w:after="0" w:line="240" w:lineRule="auto"/>
        <w:contextualSpacing w:val="0"/>
        <w:rPr>
          <w:color w:val="000000" w:themeColor="text1"/>
          <w:szCs w:val="24"/>
        </w:rPr>
      </w:pPr>
      <w:r>
        <w:rPr>
          <w:color w:val="000000" w:themeColor="text1"/>
          <w:szCs w:val="24"/>
        </w:rPr>
        <w:t>a)</w:t>
      </w:r>
      <w:r w:rsidR="00063898" w:rsidRPr="00526FEB">
        <w:rPr>
          <w:color w:val="000000" w:themeColor="text1"/>
          <w:szCs w:val="24"/>
        </w:rPr>
        <w:t xml:space="preserve"> Trong từng thời kỳ, các doanh nghiệp, hợp tác xã và hộ kinh doanh tham gia Hệ sinh thái tận dụng các FTA được hỗ trợ lãi suất khi vay vốn trung và dài hạn tại các tổ chức tín dụng để thực hiện phương án, dự án sản xuất - kinh doanh theo các nguyên tắc sau:</w:t>
      </w:r>
    </w:p>
    <w:p w:rsidR="00063898" w:rsidRPr="00526FEB" w:rsidRDefault="00B20A70" w:rsidP="00063898">
      <w:pPr>
        <w:spacing w:before="120" w:after="0" w:line="240" w:lineRule="auto"/>
        <w:contextualSpacing w:val="0"/>
        <w:rPr>
          <w:color w:val="000000" w:themeColor="text1"/>
        </w:rPr>
      </w:pPr>
      <w:r>
        <w:rPr>
          <w:color w:val="000000" w:themeColor="text1"/>
          <w:szCs w:val="24"/>
        </w:rPr>
        <w:t>i</w:t>
      </w:r>
      <w:r w:rsidR="00597C6C">
        <w:rPr>
          <w:color w:val="000000" w:themeColor="text1"/>
          <w:szCs w:val="24"/>
        </w:rPr>
        <w:t>.</w:t>
      </w:r>
      <w:r w:rsidR="00063898" w:rsidRPr="00526FEB">
        <w:rPr>
          <w:color w:val="000000" w:themeColor="text1"/>
          <w:szCs w:val="24"/>
        </w:rPr>
        <w:t xml:space="preserve"> </w:t>
      </w:r>
      <w:r w:rsidR="00063898" w:rsidRPr="00526FEB">
        <w:rPr>
          <w:color w:val="000000" w:themeColor="text1"/>
        </w:rPr>
        <w:t>Chưa được hưởng các chính sách ưu đãi về lãi suất của Nhà nước trong cùng một giai đoạn.</w:t>
      </w:r>
    </w:p>
    <w:p w:rsidR="00063898" w:rsidRPr="00526FEB" w:rsidRDefault="00B20A70" w:rsidP="00063898">
      <w:pPr>
        <w:spacing w:before="120" w:after="0" w:line="240" w:lineRule="auto"/>
        <w:contextualSpacing w:val="0"/>
        <w:rPr>
          <w:color w:val="000000" w:themeColor="text1"/>
        </w:rPr>
      </w:pPr>
      <w:r>
        <w:rPr>
          <w:color w:val="000000" w:themeColor="text1"/>
        </w:rPr>
        <w:t>ii</w:t>
      </w:r>
      <w:r w:rsidR="00597C6C">
        <w:rPr>
          <w:color w:val="000000" w:themeColor="text1"/>
        </w:rPr>
        <w:t>.</w:t>
      </w:r>
      <w:r w:rsidR="00063898" w:rsidRPr="00526FEB">
        <w:rPr>
          <w:color w:val="000000" w:themeColor="text1"/>
        </w:rPr>
        <w:t xml:space="preserve"> Ngân sách nhà nước hỗ trợ lãi suất cho chủ thể là doanh nghiệp, hợp tác xã và hộ kinh doanh theo phương thức hỗ trợ sau đầu tư. Mỗi chủ thể được hỗ trợ lãi suất đối với 01 phương án, dự án sản xuất - kinh doanh trong cùng một giai đoạn.</w:t>
      </w:r>
    </w:p>
    <w:p w:rsidR="00063898" w:rsidRPr="00526FEB" w:rsidRDefault="00B20A70" w:rsidP="00063898">
      <w:pPr>
        <w:spacing w:before="120" w:after="0" w:line="240" w:lineRule="auto"/>
        <w:contextualSpacing w:val="0"/>
        <w:rPr>
          <w:color w:val="000000" w:themeColor="text1"/>
        </w:rPr>
      </w:pPr>
      <w:r>
        <w:rPr>
          <w:color w:val="000000" w:themeColor="text1"/>
        </w:rPr>
        <w:t>iii</w:t>
      </w:r>
      <w:r w:rsidR="00597C6C">
        <w:rPr>
          <w:color w:val="000000" w:themeColor="text1"/>
        </w:rPr>
        <w:t>.</w:t>
      </w:r>
      <w:r w:rsidR="00063898" w:rsidRPr="00526FEB">
        <w:rPr>
          <w:color w:val="000000" w:themeColor="text1"/>
        </w:rPr>
        <w:t xml:space="preserve"> Doanh nghiệp, hợp tác xã và hộ kinh doanh vay vốn được tổ chức tín dụng thẩm định và quyết định cho vay theo quy định của pháp luật về cho vay của tổ chức tín dụng.</w:t>
      </w:r>
    </w:p>
    <w:p w:rsidR="00063898" w:rsidRPr="00526FEB" w:rsidRDefault="006F58A3" w:rsidP="00063898">
      <w:pPr>
        <w:spacing w:before="120" w:after="0" w:line="240" w:lineRule="auto"/>
        <w:contextualSpacing w:val="0"/>
        <w:rPr>
          <w:color w:val="000000" w:themeColor="text1"/>
          <w:szCs w:val="24"/>
        </w:rPr>
      </w:pPr>
      <w:r>
        <w:rPr>
          <w:color w:val="000000" w:themeColor="text1"/>
        </w:rPr>
        <w:t>b)</w:t>
      </w:r>
      <w:r w:rsidR="00063898" w:rsidRPr="00526FEB">
        <w:rPr>
          <w:color w:val="000000" w:themeColor="text1"/>
        </w:rPr>
        <w:t xml:space="preserve"> Doanh nghiệp, hợp tác </w:t>
      </w:r>
      <w:r w:rsidR="00063898" w:rsidRPr="00526FEB">
        <w:rPr>
          <w:color w:val="000000" w:themeColor="text1"/>
          <w:szCs w:val="24"/>
        </w:rPr>
        <w:t>xã và hộ kinh doanh tham gia Hệ sinh thái tận dụng các FTA được cơ chế hỗ trợ về tín dụng như sau:</w:t>
      </w:r>
    </w:p>
    <w:p w:rsidR="00063898" w:rsidRPr="00526FEB" w:rsidRDefault="00C0029D" w:rsidP="00063898">
      <w:pPr>
        <w:spacing w:before="120" w:after="0" w:line="240" w:lineRule="auto"/>
        <w:contextualSpacing w:val="0"/>
        <w:rPr>
          <w:color w:val="000000" w:themeColor="text1"/>
        </w:rPr>
      </w:pPr>
      <w:r>
        <w:rPr>
          <w:color w:val="000000" w:themeColor="text1"/>
          <w:szCs w:val="24"/>
        </w:rPr>
        <w:t>i.</w:t>
      </w:r>
      <w:r w:rsidR="00063898" w:rsidRPr="00526FEB">
        <w:rPr>
          <w:color w:val="000000" w:themeColor="text1"/>
          <w:szCs w:val="24"/>
        </w:rPr>
        <w:t xml:space="preserve"> </w:t>
      </w:r>
      <w:r w:rsidR="00063898" w:rsidRPr="00526FEB">
        <w:rPr>
          <w:color w:val="000000" w:themeColor="text1"/>
        </w:rPr>
        <w:t xml:space="preserve">Trong từng thời kỳ, mức chênh lệch lãi suất được ngân sách nhà nước cấp bù cho các khoản vay của doanh nghiệp, hợp tác </w:t>
      </w:r>
      <w:r w:rsidR="00063898" w:rsidRPr="00526FEB">
        <w:rPr>
          <w:color w:val="000000" w:themeColor="text1"/>
          <w:szCs w:val="24"/>
        </w:rPr>
        <w:t>xã và hộ kinh doanh tham gia Hệ sinh thái tận dụng các FTA</w:t>
      </w:r>
      <w:r w:rsidR="00063898" w:rsidRPr="00526FEB">
        <w:rPr>
          <w:color w:val="000000" w:themeColor="text1"/>
        </w:rPr>
        <w:t xml:space="preserve"> thông qua các tổ chức tín dụng là 2%/năm.</w:t>
      </w:r>
    </w:p>
    <w:p w:rsidR="00063898" w:rsidRPr="00526FEB" w:rsidRDefault="00C0029D" w:rsidP="00063898">
      <w:pPr>
        <w:spacing w:before="120" w:after="0" w:line="240" w:lineRule="auto"/>
        <w:contextualSpacing w:val="0"/>
        <w:rPr>
          <w:color w:val="000000" w:themeColor="text1"/>
          <w:szCs w:val="24"/>
        </w:rPr>
      </w:pPr>
      <w:r>
        <w:rPr>
          <w:color w:val="000000" w:themeColor="text1"/>
          <w:szCs w:val="24"/>
        </w:rPr>
        <w:t>ii.</w:t>
      </w:r>
      <w:r w:rsidR="00063898" w:rsidRPr="00526FEB">
        <w:rPr>
          <w:color w:val="000000" w:themeColor="text1"/>
          <w:szCs w:val="24"/>
        </w:rPr>
        <w:t xml:space="preserve"> Tổ chức tín dụng thực hiện cho vay có hỗ trợ lãi suất cho </w:t>
      </w:r>
      <w:r w:rsidR="00063898" w:rsidRPr="00526FEB">
        <w:rPr>
          <w:color w:val="000000" w:themeColor="text1"/>
        </w:rPr>
        <w:t xml:space="preserve">doanh nghiệp, hợp tác </w:t>
      </w:r>
      <w:r w:rsidR="00063898" w:rsidRPr="00526FEB">
        <w:rPr>
          <w:color w:val="000000" w:themeColor="text1"/>
          <w:szCs w:val="24"/>
        </w:rPr>
        <w:t>xã và hộ kinh doanh tham gia Hệ sinh thái tận dụng các FTA trong phạm vi dự toán ngân sách nhà nước bố trí; thực hiện tạm ứng, thanh toán, quyết toán theo các quy định của pháp luật và hướng dẫn của cơ quan nhà nước có thẩm quyền.</w:t>
      </w:r>
    </w:p>
    <w:p w:rsidR="00063898" w:rsidRPr="00526FEB" w:rsidRDefault="00E30949" w:rsidP="00063898">
      <w:pPr>
        <w:spacing w:before="120" w:after="0" w:line="240" w:lineRule="auto"/>
        <w:contextualSpacing w:val="0"/>
        <w:rPr>
          <w:color w:val="000000" w:themeColor="text1"/>
          <w:szCs w:val="24"/>
        </w:rPr>
      </w:pPr>
      <w:r>
        <w:rPr>
          <w:color w:val="000000" w:themeColor="text1"/>
          <w:szCs w:val="24"/>
        </w:rPr>
        <w:t>ii.</w:t>
      </w:r>
      <w:r w:rsidR="00063898" w:rsidRPr="00526FEB">
        <w:rPr>
          <w:color w:val="000000" w:themeColor="text1"/>
          <w:szCs w:val="24"/>
        </w:rPr>
        <w:t xml:space="preserve"> D</w:t>
      </w:r>
      <w:r w:rsidR="00063898" w:rsidRPr="00526FEB">
        <w:rPr>
          <w:color w:val="000000" w:themeColor="text1"/>
        </w:rPr>
        <w:t xml:space="preserve">oanh nghiệp, hợp tác </w:t>
      </w:r>
      <w:r w:rsidR="00063898" w:rsidRPr="00526FEB">
        <w:rPr>
          <w:color w:val="000000" w:themeColor="text1"/>
          <w:szCs w:val="24"/>
        </w:rPr>
        <w:t>xã và hộ kinh doanh tham gia Hệ sinh thái tận dụng các FTA được hưởng hỗ trợ lãi suất chịu trách nhiệm trước pháp luật về tính chính xác của thông tin cung cấp liên quan tới phương án, dự án sản xuất - kinh doanh thuộc đối tượng được hỗ trợ lãi suất; hoàn trả số tiền được hỗ trợ lãi suất khi vi phạm các quy định về hỗ trợ lãi suất và pháp luật về cho vay của tổ chức tín dụng.</w:t>
      </w:r>
    </w:p>
    <w:p w:rsidR="00063898" w:rsidRPr="00526FEB" w:rsidRDefault="00063898" w:rsidP="00063898">
      <w:pPr>
        <w:pStyle w:val="Heading1"/>
        <w:spacing w:before="120" w:line="240" w:lineRule="auto"/>
        <w:ind w:firstLine="720"/>
        <w:contextualSpacing w:val="0"/>
        <w:jc w:val="both"/>
        <w:rPr>
          <w:rFonts w:cs="Times New Roman"/>
          <w:bCs/>
          <w:color w:val="000000" w:themeColor="text1"/>
          <w:szCs w:val="28"/>
        </w:rPr>
      </w:pPr>
      <w:r w:rsidRPr="00526FEB">
        <w:rPr>
          <w:rFonts w:cs="Times New Roman"/>
          <w:bCs/>
          <w:color w:val="000000" w:themeColor="text1"/>
          <w:szCs w:val="28"/>
        </w:rPr>
        <w:t xml:space="preserve">Điều </w:t>
      </w:r>
      <w:r w:rsidR="00F46D86">
        <w:rPr>
          <w:rFonts w:cs="Times New Roman"/>
          <w:bCs/>
          <w:color w:val="000000" w:themeColor="text1"/>
          <w:szCs w:val="28"/>
        </w:rPr>
        <w:t>8</w:t>
      </w:r>
      <w:r>
        <w:rPr>
          <w:rFonts w:cs="Times New Roman"/>
          <w:bCs/>
          <w:color w:val="000000" w:themeColor="text1"/>
          <w:szCs w:val="28"/>
        </w:rPr>
        <w:t>.</w:t>
      </w:r>
      <w:r w:rsidRPr="00526FEB">
        <w:rPr>
          <w:rFonts w:cs="Times New Roman"/>
          <w:bCs/>
          <w:color w:val="000000" w:themeColor="text1"/>
          <w:szCs w:val="28"/>
        </w:rPr>
        <w:t xml:space="preserve"> Nguyên tắc thực hiện cơ chế hỗ trợ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1. Cơ chế tạo thuận lợi và hỗ trợ được áp dụng trên cơ sở mức độ tuân thủ của chủ thể và được xem xét điều chỉnh, tạm dừng hoặc chấm dứt trong trường hợp chủ thể không còn đáp ứng các tiêu chí theo quy định.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2. Việc áp dụng cơ chế tạo thuận lợi và hỗ trợ không làm phát sinh ưu đãi thuế, trợ cấp xuất khẩu hoặc các hình thức hỗ trợ khác trái với quy định của pháp luật và các cam kết quốc tế mà Việt Nam là thành viên.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3. Cơ chế tạo thuận lợi và hỗ trợ được thực hiện theo nguyên tắc công bằng, minh bạch, bảo đảm mọi chủ thể đáp ứng đủ điều kiện đều có quyền tiếp cận và thụ hưởng theo quy định.</w:t>
      </w:r>
    </w:p>
    <w:p w:rsidR="00063898" w:rsidRPr="00526FEB" w:rsidRDefault="00063898" w:rsidP="00063898">
      <w:pPr>
        <w:pStyle w:val="Heading1"/>
        <w:spacing w:before="120" w:line="240" w:lineRule="auto"/>
        <w:ind w:firstLine="720"/>
        <w:contextualSpacing w:val="0"/>
        <w:jc w:val="both"/>
        <w:rPr>
          <w:rFonts w:cs="Times New Roman"/>
          <w:bCs/>
          <w:color w:val="000000" w:themeColor="text1"/>
          <w:szCs w:val="28"/>
        </w:rPr>
      </w:pPr>
      <w:r w:rsidRPr="00526FEB">
        <w:rPr>
          <w:rFonts w:cs="Times New Roman"/>
          <w:bCs/>
          <w:color w:val="000000" w:themeColor="text1"/>
          <w:szCs w:val="28"/>
        </w:rPr>
        <w:t xml:space="preserve">Điều </w:t>
      </w:r>
      <w:r w:rsidR="00F46D86">
        <w:rPr>
          <w:rFonts w:cs="Times New Roman"/>
          <w:bCs/>
          <w:color w:val="000000" w:themeColor="text1"/>
          <w:szCs w:val="28"/>
        </w:rPr>
        <w:t>9</w:t>
      </w:r>
      <w:r w:rsidRPr="00526FEB">
        <w:rPr>
          <w:rFonts w:cs="Times New Roman"/>
          <w:bCs/>
          <w:color w:val="000000" w:themeColor="text1"/>
          <w:szCs w:val="28"/>
        </w:rPr>
        <w:t>. Nguồn lực tài chính phục vụ Hệ sinh thái FTA</w:t>
      </w:r>
    </w:p>
    <w:p w:rsidR="00063898" w:rsidRPr="00526FEB" w:rsidRDefault="00063898" w:rsidP="00063898">
      <w:pPr>
        <w:pStyle w:val="Heading3"/>
        <w:spacing w:before="120" w:beforeAutospacing="0" w:after="0" w:afterAutospacing="0"/>
        <w:contextualSpacing w:val="0"/>
        <w:rPr>
          <w:b w:val="0"/>
          <w:bCs w:val="0"/>
          <w:color w:val="000000" w:themeColor="text1"/>
          <w:sz w:val="28"/>
          <w:szCs w:val="28"/>
        </w:rPr>
      </w:pPr>
      <w:r w:rsidRPr="00526FEB">
        <w:rPr>
          <w:b w:val="0"/>
          <w:bCs w:val="0"/>
          <w:color w:val="000000" w:themeColor="text1"/>
          <w:sz w:val="28"/>
          <w:szCs w:val="28"/>
        </w:rPr>
        <w:t>1. Phân loại nguồn lực tài chính</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Nguồn lực tài chính phục vụ việc xây dựng và vận hành Hệ sinh thái FTA bao gồm:</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a) Ngân sách nhà nước theo quy định của pháp luật về ngân sách nhà nước.</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b) Nguồn huy động từ khu vực tư nhân trong nước, trên cơ sở tự nguyện và phù hợp với quy định của pháp luật.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c) Nguồn viện trợ không hoàn lại, hỗ trợ kỹ thuật và tài trợ của tổ chức nước ngoài, tổ chức quốc tế, theo quy định của pháp luật về quản lý và sử dụng viện trợ.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d) Các nguồn hợp pháp khác theo quy định của pháp luật.</w:t>
      </w:r>
    </w:p>
    <w:p w:rsidR="00063898" w:rsidRPr="00526FEB" w:rsidRDefault="00063898" w:rsidP="00063898">
      <w:pPr>
        <w:pStyle w:val="Heading3"/>
        <w:spacing w:before="120" w:beforeAutospacing="0" w:after="0" w:afterAutospacing="0"/>
        <w:contextualSpacing w:val="0"/>
        <w:rPr>
          <w:b w:val="0"/>
          <w:bCs w:val="0"/>
          <w:color w:val="000000" w:themeColor="text1"/>
          <w:sz w:val="28"/>
          <w:szCs w:val="28"/>
        </w:rPr>
      </w:pPr>
      <w:r w:rsidRPr="00526FEB">
        <w:rPr>
          <w:b w:val="0"/>
          <w:bCs w:val="0"/>
          <w:color w:val="000000" w:themeColor="text1"/>
          <w:sz w:val="28"/>
          <w:szCs w:val="28"/>
        </w:rPr>
        <w:t>2. Cơ chế đối với nguồn ngân sách nhà nước</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a) Kinh phí thực hiện các nhiệm vụ của Hệ sinh thái FTA được bố trí ổn định, hàng năm và tập trung tại một đầu mối trong dự toán ngân sách nhà nước hằng năm của Bộ Công Thương.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 xml:space="preserve">b) Các hoạt động của Hệ sinh thái FTA được thực hiện theo cơ chế khoán chi theo nhiệm vụ hoặc theo sản phẩm đầu ra trên cơ sở dự toán tổng hợp đã được cấp có thẩm quyền phê duyệt, không yêu cầu thẩm định, phê duyệt riêng đối với từng hoạt động, trừ trường hợp pháp luật có quy định khác. </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c) Việc quản lý, sử dụng kinh phí thực hiện theo cơ chế hậu kiểm, đơn vị được giao nhiệm vụ chịu trách nhiệm về kết quả, hiệu quả sử dụng ngân sách và quyết toán theo quy định của pháp luật về ngân sách nhà nước.</w:t>
      </w:r>
    </w:p>
    <w:p w:rsidR="00063898" w:rsidRPr="00526FEB" w:rsidRDefault="00063898" w:rsidP="00063898">
      <w:pPr>
        <w:pStyle w:val="Heading3"/>
        <w:spacing w:before="120" w:beforeAutospacing="0" w:after="0" w:afterAutospacing="0"/>
        <w:contextualSpacing w:val="0"/>
        <w:rPr>
          <w:b w:val="0"/>
          <w:bCs w:val="0"/>
          <w:color w:val="000000" w:themeColor="text1"/>
          <w:sz w:val="28"/>
          <w:szCs w:val="28"/>
        </w:rPr>
      </w:pPr>
      <w:r w:rsidRPr="00526FEB">
        <w:rPr>
          <w:b w:val="0"/>
          <w:bCs w:val="0"/>
          <w:color w:val="000000" w:themeColor="text1"/>
          <w:sz w:val="28"/>
          <w:szCs w:val="28"/>
        </w:rPr>
        <w:t>3. Cơ chế huy động và sử dụng nguồn lực từ khu vực tư nhân trong nước</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a) Nhà nước khuyến khích và tạo điều kiện để doanh nghiệp, hợp tác xã, hộ kinh doanh, hiệp hội ngành hàng, tổ chức tín dụng và các tổ chức có liên quan tham gia đồng tài trợ hoặc đóng góp tự nguyện cho các hoạt động của Hệ sinh thái FTA.</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b) Việc đồng tài trợ được thực hiện theo dự án, nhiệm vụ hoặc hoạt động cụ thể, trên cơ sở thỏa thuận bằng văn bản giữa các bên, trong đó một Bên là đơn vị được giao vận hành Hệ sinh thái FTA thuộc cấu phần doanh nghiệp, về mục tiêu, phạm vi, nội dung và trách nhiệm thực hiện, bảo đảm công khai, minh bạch.</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c) Các khoản đóng góp tự nguyện được tiếp nhận, quản lý và hạch toán riêng tại đơn vị được giao vận hành Hệ sinh thái FTA thuộc cấu phần doanh nghiệp theo quy định của pháp luật, không hình thành quỹ tài chính nhà nước ngoài ngân sách.</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d) Việc đóng góp tự nguyện không phải là điều kiện, tiêu chí hoặc căn cứ để xem xét áp dụng cơ chế tạo thuận lợi hoặc các hình thức hỗ trợ khác theo Nghị định này.</w:t>
      </w:r>
    </w:p>
    <w:p w:rsidR="00063898" w:rsidRPr="00526FEB" w:rsidRDefault="00063898" w:rsidP="00063898">
      <w:pPr>
        <w:pStyle w:val="Heading3"/>
        <w:spacing w:before="120" w:beforeAutospacing="0" w:after="0" w:afterAutospacing="0"/>
        <w:contextualSpacing w:val="0"/>
        <w:rPr>
          <w:b w:val="0"/>
          <w:bCs w:val="0"/>
          <w:color w:val="000000" w:themeColor="text1"/>
          <w:sz w:val="28"/>
          <w:szCs w:val="28"/>
        </w:rPr>
      </w:pPr>
      <w:r w:rsidRPr="00526FEB">
        <w:rPr>
          <w:b w:val="0"/>
          <w:bCs w:val="0"/>
          <w:color w:val="000000" w:themeColor="text1"/>
          <w:sz w:val="28"/>
          <w:szCs w:val="28"/>
        </w:rPr>
        <w:t>4. Cơ chế tiếp nhận và sử dụng nguồn viện trợ, tài trợ quốc tế</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a) Ưu tiên tiếp nhận các khoản viện trợ không hoàn lại và hỗ trợ kỹ thuật phục vụ trực tiếp cho các hoạt động nâng cao năng lực, chuyển đổi số, chuyển đổi xanh và phát triển chuỗi giá trị nhằm tận dụng các hiệp định thương mại tự do.</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b) Đối với các khoản viện trợ không hoàn lại và hỗ trợ kỹ thuật, đào tạo, tư vấn, chuyên gia hoặc hỗ trợ hiện vật không hình thành nghĩa vụ nợ công và không chuyển vào ngân sách nhà nước, việc tiếp nhận được thực hiện theo cơ chế viện trợ phi dự án. Trong đó, giao Bộ Công Thương là đơn vị chủ trì xây dựng và vận hành Hệ sinh thái FTA làm đầu mối tiếp nhận và xử lý hồ sơ, áp dụng trình tự, thủ tục rút gọn, không yêu cầu phê duyệt riêng đối với từng hoạt động trong khuôn khổ văn kiện viện trợ đã được chấp thuận, thực hiện theo phân cấp thẩm quyền của pháp luật, bảo đảm rút ngắn tối đa thời gian xử lý.</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c) Trường hợp thỏa thuận tài trợ có quy định về cơ chế tài chính, mua sắm, quản lý và giải ngân khác với quy định của pháp luật trong nước, việc thực hiện áp dụng theo thỏa thuận với nhà tài trợ, không trái với Hiến pháp và các nguyên tắc cơ bản của pháp luật Việt Nam.</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d) Đối với các khoản viện trợ bằng tiền chuyển vào ngân sách nhà nước, việc quản lý, sử dụng và quyết toán thực hiện theo pháp luật về ngân sách nhà nước và các quy định pháp luật có liên quan.</w:t>
      </w:r>
    </w:p>
    <w:p w:rsidR="00063898" w:rsidRPr="00526FEB" w:rsidRDefault="00063898" w:rsidP="00063898">
      <w:pPr>
        <w:pStyle w:val="Heading3"/>
        <w:spacing w:before="120" w:beforeAutospacing="0" w:after="0" w:afterAutospacing="0"/>
        <w:contextualSpacing w:val="0"/>
        <w:rPr>
          <w:b w:val="0"/>
          <w:bCs w:val="0"/>
          <w:color w:val="000000" w:themeColor="text1"/>
          <w:sz w:val="28"/>
          <w:szCs w:val="28"/>
        </w:rPr>
      </w:pPr>
      <w:r w:rsidRPr="00526FEB">
        <w:rPr>
          <w:b w:val="0"/>
          <w:bCs w:val="0"/>
          <w:color w:val="000000" w:themeColor="text1"/>
          <w:sz w:val="28"/>
          <w:szCs w:val="28"/>
        </w:rPr>
        <w:t>5. Nguyên tắc quản lý và phân bổ nguồn lực tài chính</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a) Việc phân bổ và sử dụng nguồn lực phải bảo đảm công khai, minh bạch, hiệu quả, không trùng lặp với các chương trình, đề án đã được cấp có thẩm quyền phê duyệt.</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b) Việc phân bổ nguồn lực được gắn với kết quả đầu ra, bao gồm nâng cao hiệu quả tận dụng các hiệp định thương mại tự do, tăng tỷ lệ giá trị gia tăng trong nước và thúc đẩy phát triển bền vững.</w:t>
      </w:r>
    </w:p>
    <w:p w:rsidR="00063898" w:rsidRPr="00526FEB" w:rsidRDefault="00063898" w:rsidP="00063898">
      <w:pPr>
        <w:pStyle w:val="NormalWeb"/>
        <w:spacing w:before="120" w:beforeAutospacing="0" w:after="0" w:afterAutospacing="0"/>
        <w:contextualSpacing w:val="0"/>
        <w:rPr>
          <w:color w:val="000000" w:themeColor="text1"/>
          <w:sz w:val="28"/>
          <w:szCs w:val="28"/>
        </w:rPr>
      </w:pPr>
      <w:r w:rsidRPr="00526FEB">
        <w:rPr>
          <w:color w:val="000000" w:themeColor="text1"/>
          <w:sz w:val="28"/>
          <w:szCs w:val="28"/>
        </w:rPr>
        <w:t>c) Ưu tiên bố trí nguồn lực cho các hoạt động có tác động lan tỏa theo ngành hàng hoặc chuỗi giá trị.</w:t>
      </w:r>
    </w:p>
    <w:p w:rsidR="00063898" w:rsidRPr="00526FEB" w:rsidRDefault="00063898" w:rsidP="00063898">
      <w:pPr>
        <w:keepNext/>
        <w:keepLines/>
        <w:spacing w:before="120" w:after="0" w:line="240" w:lineRule="auto"/>
        <w:contextualSpacing w:val="0"/>
        <w:outlineLvl w:val="0"/>
        <w:rPr>
          <w:rFonts w:eastAsiaTheme="majorEastAsia" w:cs="Times New Roman"/>
          <w:b/>
          <w:bCs/>
          <w:color w:val="000000" w:themeColor="text1"/>
          <w:szCs w:val="28"/>
        </w:rPr>
      </w:pPr>
      <w:r w:rsidRPr="00526FEB">
        <w:rPr>
          <w:rFonts w:eastAsiaTheme="majorEastAsia" w:cs="Times New Roman"/>
          <w:b/>
          <w:bCs/>
          <w:color w:val="000000" w:themeColor="text1"/>
          <w:szCs w:val="28"/>
        </w:rPr>
        <w:t xml:space="preserve">Điều </w:t>
      </w:r>
      <w:r w:rsidR="001F6C23">
        <w:rPr>
          <w:rFonts w:eastAsiaTheme="majorEastAsia" w:cs="Times New Roman"/>
          <w:b/>
          <w:bCs/>
          <w:color w:val="000000" w:themeColor="text1"/>
          <w:szCs w:val="28"/>
        </w:rPr>
        <w:t>10</w:t>
      </w:r>
      <w:r w:rsidRPr="00526FEB">
        <w:rPr>
          <w:rFonts w:eastAsiaTheme="majorEastAsia" w:cs="Times New Roman"/>
          <w:b/>
          <w:bCs/>
          <w:color w:val="000000" w:themeColor="text1"/>
          <w:szCs w:val="28"/>
        </w:rPr>
        <w:t>. Nguồn nhân lực phục vụ Hệ sinh thái FTA</w:t>
      </w:r>
    </w:p>
    <w:p w:rsidR="00063898" w:rsidRPr="00526FEB" w:rsidRDefault="00063898" w:rsidP="00063898">
      <w:pPr>
        <w:keepNext/>
        <w:keepLines/>
        <w:spacing w:before="120" w:after="0" w:line="240" w:lineRule="auto"/>
        <w:contextualSpacing w:val="0"/>
        <w:outlineLvl w:val="2"/>
        <w:rPr>
          <w:rFonts w:eastAsiaTheme="majorEastAsia" w:cs="Times New Roman"/>
          <w:color w:val="000000" w:themeColor="text1"/>
          <w:szCs w:val="28"/>
        </w:rPr>
      </w:pPr>
      <w:r w:rsidRPr="00526FEB">
        <w:rPr>
          <w:rFonts w:eastAsiaTheme="majorEastAsia" w:cs="Times New Roman"/>
          <w:color w:val="000000" w:themeColor="text1"/>
          <w:szCs w:val="28"/>
        </w:rPr>
        <w:t>1. Phân loại nguồn nhân lực</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Nguồn nhân lực phục vụ xây dựng và vận hành Hệ sinh thái FTA bao gồm:</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a) Nhân sự thuộc các cơ quan nhà nước được giao nhiệm vụ liên quan đến việc xây dựng, quản lý và vận hành Hệ sinh thái FTA.</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b) Chuyên gia, tổ chức, doanh nghiệp cung cấp dịch vụ chuyên môn trong và ngoài nước được huy động thông qua cơ chế hợp đồng, phù hợp với quy định của pháp luật.</w:t>
      </w:r>
    </w:p>
    <w:p w:rsidR="00063898" w:rsidRPr="00526FEB" w:rsidRDefault="00063898" w:rsidP="00063898">
      <w:pPr>
        <w:keepNext/>
        <w:keepLines/>
        <w:spacing w:before="120" w:after="0" w:line="240" w:lineRule="auto"/>
        <w:contextualSpacing w:val="0"/>
        <w:outlineLvl w:val="2"/>
        <w:rPr>
          <w:rFonts w:eastAsiaTheme="majorEastAsia" w:cs="Times New Roman"/>
          <w:color w:val="000000" w:themeColor="text1"/>
          <w:szCs w:val="28"/>
        </w:rPr>
      </w:pPr>
      <w:r w:rsidRPr="00526FEB">
        <w:rPr>
          <w:rFonts w:eastAsiaTheme="majorEastAsia" w:cs="Times New Roman"/>
          <w:color w:val="000000" w:themeColor="text1"/>
          <w:szCs w:val="28"/>
        </w:rPr>
        <w:t>2. Cơ chế đối với nhân sự thuộc cơ quan nhà nước</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a) Bộ Công Thương được giao chủ trì xây dựng và vận hành Hệ sinh thái FTA bố trí cán bộ chuyên trách hoặc kiêm nhiệm để thực hiện các nhiệm vụ điều phối, hỗ trợ và giám sát hoạt động của Hệ sinh thái FTA.</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b) Cán bộ, công chức, viên chức trực tiếp tham gia vận hành Hệ sinh thái FTA được áp dụng cơ chế biệt phái hoặc kiêm nhiệm; chế độ, chính sách về phụ cấp, thù lao hoặc cơ chế khuyến khích được thực hiện theo quy định của Chính phủ, phù hợp với tính chất chuyên môn, mức độ trách nhiệm và kết quả thực hiện nhiệm vụ.</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c) Việc phân công và sử dụng nhân sự được thực hiện linh hoạt theo nhiệm vụ, dự án hoặc chuyên đề, nhằm bảo đảm hiệu quả chuyên môn và tính kịp thời trong hỗ trợ doanh nghiệp, hợp tác xã và hộ kinh doanh.</w:t>
      </w:r>
    </w:p>
    <w:p w:rsidR="00063898" w:rsidRPr="00526FEB" w:rsidRDefault="00063898" w:rsidP="00063898">
      <w:pPr>
        <w:keepNext/>
        <w:keepLines/>
        <w:spacing w:before="120" w:after="0" w:line="240" w:lineRule="auto"/>
        <w:contextualSpacing w:val="0"/>
        <w:outlineLvl w:val="2"/>
        <w:rPr>
          <w:rFonts w:eastAsiaTheme="majorEastAsia" w:cs="Times New Roman"/>
          <w:color w:val="000000" w:themeColor="text1"/>
          <w:szCs w:val="28"/>
        </w:rPr>
      </w:pPr>
      <w:r w:rsidRPr="00526FEB">
        <w:rPr>
          <w:rFonts w:eastAsiaTheme="majorEastAsia" w:cs="Times New Roman"/>
          <w:color w:val="000000" w:themeColor="text1"/>
          <w:szCs w:val="28"/>
        </w:rPr>
        <w:t>3. Cơ chế huy động chuyên gia và tổ chức cung cấp dịch vụ chuyên môn</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Pr>
          <w:rFonts w:eastAsia="Times New Roman" w:cs="Times New Roman"/>
          <w:color w:val="000000" w:themeColor="text1"/>
          <w:szCs w:val="28"/>
          <w:lang w:val="en-AU" w:eastAsia="en-AU"/>
        </w:rPr>
        <w:t>a</w:t>
      </w:r>
      <w:r w:rsidRPr="00526FEB">
        <w:rPr>
          <w:rFonts w:eastAsia="Times New Roman" w:cs="Times New Roman"/>
          <w:color w:val="000000" w:themeColor="text1"/>
          <w:szCs w:val="28"/>
          <w:lang w:val="en-AU" w:eastAsia="en-AU"/>
        </w:rPr>
        <w:t>) Được thuê chuyên gia, tổ chức tư vấn và doanh nghiệp cung cấp dịch vụ chuyên môn trong và ngoài nước để thực hiện các hoạt động tư vấn chuyên sâu, đào tạo, nghiên cứu, phát triển hệ thống và hỗ trợ doanh nghiệp phục vụ Hệ sinh thái FTA.</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b) Việc ký kết hợp đồng và xác định mức thù lao, chi phí thực hiện được căn cứ vào yêu cầu chuyên môn, chất lượng dịch vụ và mặt bằng giá thị trường, theo quy định của pháp luật có liên quan.</w:t>
      </w:r>
    </w:p>
    <w:p w:rsidR="00063898" w:rsidRPr="00526FEB" w:rsidRDefault="00063898" w:rsidP="00063898">
      <w:pPr>
        <w:spacing w:before="120" w:after="0" w:line="240" w:lineRule="auto"/>
        <w:contextualSpacing w:val="0"/>
        <w:rPr>
          <w:rFonts w:eastAsia="Times New Roman" w:cs="Times New Roman"/>
          <w:color w:val="000000" w:themeColor="text1"/>
          <w:szCs w:val="28"/>
          <w:lang w:val="en-AU" w:eastAsia="en-AU"/>
        </w:rPr>
      </w:pPr>
      <w:r w:rsidRPr="00526FEB">
        <w:rPr>
          <w:rFonts w:eastAsia="Times New Roman" w:cs="Times New Roman"/>
          <w:color w:val="000000" w:themeColor="text1"/>
          <w:szCs w:val="28"/>
          <w:lang w:val="en-AU" w:eastAsia="en-AU"/>
        </w:rPr>
        <w:t>c) Chi phí thực hiện được bảo đảm từ các nguồn lực tài chính quy định tại Điều 8 của Nghị định này.</w:t>
      </w:r>
    </w:p>
    <w:p w:rsidR="00063898" w:rsidRPr="00526FEB" w:rsidRDefault="00063898" w:rsidP="00063898">
      <w:pPr>
        <w:keepNext/>
        <w:keepLines/>
        <w:spacing w:before="120" w:after="0" w:line="240" w:lineRule="auto"/>
        <w:contextualSpacing w:val="0"/>
        <w:outlineLvl w:val="2"/>
        <w:rPr>
          <w:rFonts w:eastAsiaTheme="majorEastAsia" w:cs="Times New Roman"/>
          <w:color w:val="000000" w:themeColor="text1"/>
          <w:szCs w:val="28"/>
        </w:rPr>
      </w:pPr>
      <w:r w:rsidRPr="00526FEB">
        <w:rPr>
          <w:rFonts w:eastAsiaTheme="majorEastAsia" w:cs="Times New Roman"/>
          <w:color w:val="000000" w:themeColor="text1"/>
          <w:szCs w:val="28"/>
        </w:rPr>
        <w:t>4. Nguyên tắc quản lý và sử dụng nguồn nhân lực</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a) Bảo đảm công khai, minh bạch và hiệu quả trong việc lựa chọn, huy động và sử dụng chuyên gia.</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b) Gắn trách nhiệm với kết quả thực hiện nhiệm vụ, làm căn cứ đánh giá, thanh toán và tiếp tục hợp tác.</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c) Ưu tiên phát triển và huy động đội ngũ chuyên gia có năng lực chuyên môn cao trong các lĩnh vực liên quan đến các hiệp định thương mại tự do.</w:t>
      </w:r>
    </w:p>
    <w:p w:rsidR="00063898" w:rsidRPr="00526FEB" w:rsidRDefault="00063898" w:rsidP="00063898">
      <w:pPr>
        <w:spacing w:before="120" w:after="0" w:line="240" w:lineRule="auto"/>
        <w:contextualSpacing w:val="0"/>
        <w:rPr>
          <w:rFonts w:cs="Times New Roman"/>
          <w:b/>
          <w:bCs/>
          <w:color w:val="000000" w:themeColor="text1"/>
          <w:szCs w:val="28"/>
        </w:rPr>
      </w:pPr>
      <w:r w:rsidRPr="00526FEB">
        <w:rPr>
          <w:rFonts w:cs="Times New Roman"/>
          <w:b/>
          <w:bCs/>
          <w:color w:val="000000" w:themeColor="text1"/>
          <w:szCs w:val="28"/>
        </w:rPr>
        <w:t xml:space="preserve">Điều </w:t>
      </w:r>
      <w:r w:rsidR="00853A7C">
        <w:rPr>
          <w:rFonts w:cs="Times New Roman"/>
          <w:b/>
          <w:bCs/>
          <w:color w:val="000000" w:themeColor="text1"/>
          <w:szCs w:val="28"/>
        </w:rPr>
        <w:t>11</w:t>
      </w:r>
      <w:r w:rsidRPr="00526FEB">
        <w:rPr>
          <w:rFonts w:cs="Times New Roman"/>
          <w:b/>
          <w:bCs/>
          <w:color w:val="000000" w:themeColor="text1"/>
          <w:szCs w:val="28"/>
        </w:rPr>
        <w:t xml:space="preserve">. </w:t>
      </w:r>
      <w:r w:rsidRPr="00526FEB">
        <w:rPr>
          <w:rFonts w:cs="Times New Roman"/>
          <w:b/>
          <w:color w:val="000000" w:themeColor="text1"/>
          <w:szCs w:val="28"/>
        </w:rPr>
        <w:t>Nguồn lực về thông tin, dữ liệu, cơ sở hạ tầng công nghệ và các hệ thống, cơ sở vật chất đánh giá tiêu chuẩn quy chuẩn hỗ trợ doanh nghiệp tuân thủ quy định trong các FTA</w:t>
      </w:r>
      <w:r w:rsidRPr="00526FEB">
        <w:rPr>
          <w:rFonts w:cs="Times New Roman"/>
          <w:b/>
          <w:bCs/>
          <w:color w:val="000000" w:themeColor="text1"/>
          <w:szCs w:val="28"/>
        </w:rPr>
        <w:t xml:space="preserve"> </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1. Phân loại nguồn lực</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Nguồn lực về thông tin, dữ liệu, hạ tầng công nghệ và các hệ thống, cơ sở vật chất đánh giá tiêu chuẩn, quy chuẩn phục vụ việc xây dựng và vận hành Hệ sinh thái FTA bao gồm:</w:t>
      </w:r>
    </w:p>
    <w:p w:rsidR="00063898" w:rsidRPr="00526FEB" w:rsidRDefault="00063898" w:rsidP="00063898">
      <w:pPr>
        <w:spacing w:before="120" w:after="0" w:line="240" w:lineRule="auto"/>
        <w:contextualSpacing w:val="0"/>
        <w:rPr>
          <w:rFonts w:cs="Times New Roman"/>
          <w:color w:val="000000" w:themeColor="text1"/>
          <w:szCs w:val="28"/>
        </w:rPr>
      </w:pP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a) Cơ sở dữ liệu về cam kết trong các hiệp định thương mại tự do, quy tắc xuất xứ, tiêu chuẩn, quy chuẩn kỹ thuật, rào cản thương mại và các thông tin có liên quan.</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b) Nền tảng số và các công cụ điện tử hỗ trợ doanh nghiệp tra cứu, tự đánh giá và thực hiện các thủ tục liên quan đến việc tận dụng FTA.</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c) Hạ tầng kỹ thuật phục vụ kết nối, tích hợp và chia sẻ dữ liệu giữa các cơ quan, tổ chức có liên quan theo quy định của pháp luật.</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d) Hệ thống, phòng thử nghiệm, đánh giá sự phù hợp phục vụ việc đánh giá tiêu chuẩn, quy chuẩn theo quy định.</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e) Cơ sở vật chất phục vụ hoạt động của Văn phòng Hệ sinh thái FTA, bao gồm đầu tư ban đầu và nâng cấp trong quá trình vận hành.</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2. Cơ chế bảo đảm và triển khai</w:t>
      </w:r>
    </w:p>
    <w:p w:rsidR="00063898" w:rsidRPr="00526FEB" w:rsidRDefault="00063898" w:rsidP="00063898">
      <w:pPr>
        <w:spacing w:before="120" w:after="0" w:line="240" w:lineRule="auto"/>
        <w:contextualSpacing w:val="0"/>
        <w:rPr>
          <w:rFonts w:cs="Times New Roman"/>
          <w:color w:val="000000" w:themeColor="text1"/>
          <w:szCs w:val="28"/>
        </w:rPr>
      </w:pPr>
      <w:r>
        <w:rPr>
          <w:rFonts w:eastAsia="Times New Roman" w:cs="Times New Roman"/>
          <w:bCs/>
          <w:color w:val="000000" w:themeColor="text1"/>
          <w:sz w:val="24"/>
          <w:szCs w:val="24"/>
          <w:lang w:eastAsia="ja-JP"/>
        </w:rPr>
        <w:t>a</w:t>
      </w:r>
      <w:r w:rsidRPr="00526FEB">
        <w:rPr>
          <w:rFonts w:eastAsia="Times New Roman" w:cs="Times New Roman"/>
          <w:bCs/>
          <w:color w:val="000000" w:themeColor="text1"/>
          <w:sz w:val="24"/>
          <w:szCs w:val="24"/>
          <w:lang w:eastAsia="ja-JP"/>
        </w:rPr>
        <w:t>)</w:t>
      </w:r>
      <w:r w:rsidRPr="00526FEB">
        <w:rPr>
          <w:rFonts w:eastAsia="Times New Roman" w:cs="Times New Roman"/>
          <w:color w:val="000000" w:themeColor="text1"/>
          <w:sz w:val="24"/>
          <w:szCs w:val="24"/>
          <w:lang w:eastAsia="ja-JP"/>
        </w:rPr>
        <w:t xml:space="preserve"> </w:t>
      </w:r>
      <w:r w:rsidRPr="00526FEB">
        <w:rPr>
          <w:rFonts w:cs="Times New Roman"/>
          <w:color w:val="000000" w:themeColor="text1"/>
          <w:szCs w:val="28"/>
        </w:rPr>
        <w:t>Nhà nước bảo đảm đầu tư, duy trì và nâng cấp hệ thống văn phòng, cơ sở vật chất, hạ tầng kỹ thuật, nền tảng số và cơ sở dữ liệu tích hợp về các hiệp định thương mại tự do, theo hướng đồng bộ, liên thông, tạo thuận lợi cho doanh nghiệp trong việc tiếp cận và sử dụng.</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b) Việc tích hợp, chia sẻ và khai thác dữ liệu điện tử giữa các hệ thống hải quan, thuế và cơ quan quản lý chuyên ngành được thực hiện nhằm phục vụ quản lý rủi ro và hỗ trợ doanh nghiệp, theo quy định của pháp luật.</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c) Áp dụng nguyên tắc hạn chế yêu cầu doanh nghiệp cung cấp lại thông tin đã có trong các hệ thống thông tin của cơ quan nhà nước; thực hiện tự động đối chiếu và xác nhận dữ liệu trong phạm vi chức năng, nhiệm vụ và thẩm quyền của cơ quan có thẩm quyền.</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3. Nguyên tắc quản lý và sử dụng</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a) Bảo đảm an toàn, bảo mật dữ liệu và tuân thủ đầy đủ các quy định của pháp luật về bảo vệ dữ liệu cá nhân và an ninh mạng.</w:t>
      </w:r>
    </w:p>
    <w:p w:rsidR="00063898" w:rsidRPr="00526FEB" w:rsidRDefault="00063898" w:rsidP="00063898">
      <w:pPr>
        <w:spacing w:before="120" w:after="0" w:line="240" w:lineRule="auto"/>
        <w:contextualSpacing w:val="0"/>
        <w:rPr>
          <w:rFonts w:cs="Times New Roman"/>
          <w:color w:val="000000" w:themeColor="text1"/>
          <w:szCs w:val="28"/>
        </w:rPr>
      </w:pPr>
      <w:r w:rsidRPr="00526FEB">
        <w:rPr>
          <w:rFonts w:cs="Times New Roman"/>
          <w:color w:val="000000" w:themeColor="text1"/>
          <w:szCs w:val="28"/>
        </w:rPr>
        <w:t>b) Bảo đảm việc sử dụng dữ liệu đúng mục đích, có kiểm soát, không làm phát sinh thủ tục hành chính không cần thiết đối với doanh nghiệp.</w:t>
      </w:r>
    </w:p>
    <w:p w:rsidR="00063898" w:rsidRDefault="00063898" w:rsidP="00063898">
      <w:pPr>
        <w:spacing w:before="120" w:after="0" w:line="240" w:lineRule="auto"/>
        <w:contextualSpacing w:val="0"/>
      </w:pPr>
      <w:r w:rsidRPr="00526FEB">
        <w:rPr>
          <w:rFonts w:cs="Times New Roman"/>
          <w:color w:val="000000" w:themeColor="text1"/>
          <w:szCs w:val="28"/>
        </w:rPr>
        <w:t>c) Gắn phát triển hạ tầng số với mục tiêu rút ngắn thời gian xử lý hồ sơ và giảm chi phí tuân thủ cho doanh nghiệp.</w:t>
      </w:r>
    </w:p>
    <w:p w:rsidR="00063898" w:rsidRDefault="00063898" w:rsidP="00063898">
      <w:pPr>
        <w:spacing w:before="120" w:after="0" w:line="240" w:lineRule="auto"/>
        <w:contextualSpacing w:val="0"/>
        <w:jc w:val="center"/>
      </w:pPr>
    </w:p>
    <w:p w:rsidR="00063898" w:rsidRPr="00E64CB4" w:rsidRDefault="00063898" w:rsidP="00063898">
      <w:pPr>
        <w:spacing w:before="120" w:after="0" w:line="240" w:lineRule="auto"/>
        <w:contextualSpacing w:val="0"/>
        <w:jc w:val="center"/>
        <w:rPr>
          <w:b/>
        </w:rPr>
      </w:pPr>
      <w:r w:rsidRPr="00E64CB4">
        <w:rPr>
          <w:b/>
        </w:rPr>
        <w:t>Chương III</w:t>
      </w:r>
    </w:p>
    <w:p w:rsidR="00063898" w:rsidRPr="00F75AE1" w:rsidRDefault="00063898" w:rsidP="00F75AE1">
      <w:pPr>
        <w:spacing w:before="120" w:after="0" w:line="240" w:lineRule="auto"/>
        <w:contextualSpacing w:val="0"/>
        <w:jc w:val="center"/>
        <w:rPr>
          <w:b/>
        </w:rPr>
      </w:pPr>
      <w:r>
        <w:rPr>
          <w:b/>
        </w:rPr>
        <w:t>QUY ĐỊNH CHI TIẾT KHOẢN 4 ĐIỀU 12</w:t>
      </w:r>
    </w:p>
    <w:p w:rsidR="00063898" w:rsidRPr="00C54447" w:rsidRDefault="00063898" w:rsidP="00063898">
      <w:pPr>
        <w:spacing w:before="120" w:after="0" w:line="240" w:lineRule="auto"/>
        <w:contextualSpacing w:val="0"/>
        <w:rPr>
          <w:b/>
          <w:bCs/>
          <w:szCs w:val="28"/>
          <w:lang w:val="vi-VN"/>
        </w:rPr>
      </w:pPr>
      <w:r w:rsidRPr="00C54447">
        <w:rPr>
          <w:b/>
          <w:bCs/>
          <w:szCs w:val="28"/>
          <w:lang w:val="vi-VN"/>
        </w:rPr>
        <w:t xml:space="preserve">Điều </w:t>
      </w:r>
      <w:r w:rsidR="00E36ECD">
        <w:rPr>
          <w:b/>
          <w:bCs/>
          <w:szCs w:val="28"/>
        </w:rPr>
        <w:t>12</w:t>
      </w:r>
      <w:r w:rsidRPr="00C54447">
        <w:rPr>
          <w:b/>
          <w:bCs/>
          <w:szCs w:val="28"/>
          <w:lang w:val="vi-VN"/>
        </w:rPr>
        <w:t>. Nguồn hình thành Quỹ hỗ trợ phòng vệ thương mại</w:t>
      </w:r>
    </w:p>
    <w:p w:rsidR="00063898" w:rsidRPr="00C54447" w:rsidRDefault="00063898" w:rsidP="00063898">
      <w:pPr>
        <w:spacing w:before="120" w:after="0" w:line="240" w:lineRule="auto"/>
        <w:contextualSpacing w:val="0"/>
        <w:rPr>
          <w:szCs w:val="28"/>
          <w:lang w:val="vi-VN"/>
        </w:rPr>
      </w:pPr>
      <w:r w:rsidRPr="00C54447">
        <w:rPr>
          <w:szCs w:val="28"/>
          <w:lang w:val="vi-VN"/>
        </w:rPr>
        <w:t>Nguồn hình thành Quỹ hỗ trợ phòng vệ thương mại bao gồm:</w:t>
      </w:r>
    </w:p>
    <w:p w:rsidR="00063898" w:rsidRPr="002D73BB" w:rsidRDefault="00D1351C" w:rsidP="00063898">
      <w:pPr>
        <w:pStyle w:val="NormalWeb"/>
        <w:spacing w:before="120" w:beforeAutospacing="0" w:after="0" w:afterAutospacing="0"/>
        <w:contextualSpacing w:val="0"/>
        <w:rPr>
          <w:sz w:val="28"/>
          <w:szCs w:val="28"/>
          <w:lang w:val="vi-VN"/>
        </w:rPr>
      </w:pPr>
      <w:r w:rsidRPr="008753D6">
        <w:rPr>
          <w:sz w:val="28"/>
          <w:szCs w:val="28"/>
          <w:lang w:val="vi-VN"/>
        </w:rPr>
        <w:t>1.</w:t>
      </w:r>
      <w:r w:rsidR="00063898" w:rsidRPr="002D73BB">
        <w:rPr>
          <w:sz w:val="28"/>
          <w:szCs w:val="28"/>
          <w:lang w:val="vi-VN"/>
        </w:rPr>
        <w:t xml:space="preserve"> Khoản trích hằng năm từ nguồn thu thuế phòng vệ thương mại áp dụng đối với hàng hóa nhập khẩu vào Việt Nam. Mức trích do Bộ Tài chính xác định, cân đối vào cuối năm tài chính, nhưng không vượt quá 10% tổng số thu thuế phòng vệ thương mại thực thu trong năm ngân sách đó.</w:t>
      </w:r>
    </w:p>
    <w:p w:rsidR="00063898" w:rsidRPr="002D73BB" w:rsidRDefault="00D1351C" w:rsidP="00063898">
      <w:pPr>
        <w:pStyle w:val="NormalWeb"/>
        <w:spacing w:before="120" w:beforeAutospacing="0" w:after="0" w:afterAutospacing="0"/>
        <w:contextualSpacing w:val="0"/>
        <w:rPr>
          <w:sz w:val="28"/>
          <w:szCs w:val="28"/>
          <w:lang w:val="vi-VN"/>
        </w:rPr>
      </w:pPr>
      <w:r w:rsidRPr="008753D6">
        <w:rPr>
          <w:sz w:val="28"/>
          <w:szCs w:val="28"/>
          <w:lang w:val="vi-VN"/>
        </w:rPr>
        <w:t>2.</w:t>
      </w:r>
      <w:r w:rsidR="00063898" w:rsidRPr="002D73BB">
        <w:rPr>
          <w:sz w:val="28"/>
          <w:szCs w:val="28"/>
          <w:lang w:val="vi-VN"/>
        </w:rPr>
        <w:t xml:space="preserve"> Đóng góp của doanh nghiệp, hiệp hội ngành hàng và các tổ chức, cá nhân theo nguyên tắc tự nguyện; trường hợp doanh nghiệp, hiệp hội được hưởng lợi trực tiếp, đáng kể từ việc sử dụng Quỹ thì có trách nhiệm xem xét, đóng góp trở lại Quỹ theo quy chế hoạt động của Quỹ;</w:t>
      </w:r>
    </w:p>
    <w:p w:rsidR="00063898" w:rsidRPr="002D73BB" w:rsidRDefault="00D1351C" w:rsidP="00063898">
      <w:pPr>
        <w:pStyle w:val="NormalWeb"/>
        <w:spacing w:before="120" w:beforeAutospacing="0" w:after="0" w:afterAutospacing="0"/>
        <w:contextualSpacing w:val="0"/>
        <w:rPr>
          <w:sz w:val="28"/>
          <w:szCs w:val="28"/>
          <w:lang w:val="vi-VN"/>
        </w:rPr>
      </w:pPr>
      <w:r w:rsidRPr="008753D6">
        <w:rPr>
          <w:sz w:val="28"/>
          <w:szCs w:val="28"/>
          <w:lang w:val="vi-VN"/>
        </w:rPr>
        <w:t>3.</w:t>
      </w:r>
      <w:r w:rsidR="00063898" w:rsidRPr="002D73BB">
        <w:rPr>
          <w:sz w:val="28"/>
          <w:szCs w:val="28"/>
          <w:lang w:val="vi-VN"/>
        </w:rPr>
        <w:t xml:space="preserve"> Nguồn tài trợ, viện trợ hợp pháp của tổ chức, cá nhân trong nước và nước ngoài theo quy định của pháp luật;</w:t>
      </w:r>
    </w:p>
    <w:p w:rsidR="00063898" w:rsidRPr="002D73BB" w:rsidRDefault="00D1351C" w:rsidP="00063898">
      <w:pPr>
        <w:pStyle w:val="NormalWeb"/>
        <w:spacing w:before="120" w:beforeAutospacing="0" w:after="0" w:afterAutospacing="0"/>
        <w:contextualSpacing w:val="0"/>
        <w:rPr>
          <w:sz w:val="28"/>
          <w:szCs w:val="28"/>
          <w:lang w:val="vi-VN"/>
        </w:rPr>
      </w:pPr>
      <w:r w:rsidRPr="008753D6">
        <w:rPr>
          <w:sz w:val="28"/>
          <w:szCs w:val="28"/>
          <w:lang w:val="vi-VN"/>
        </w:rPr>
        <w:t>4.</w:t>
      </w:r>
      <w:r w:rsidR="00063898" w:rsidRPr="002D73BB">
        <w:rPr>
          <w:sz w:val="28"/>
          <w:szCs w:val="28"/>
          <w:lang w:val="vi-VN"/>
        </w:rPr>
        <w:t xml:space="preserve"> Các nguồn thu hợp pháp khác theo quy định của pháp luật.</w:t>
      </w:r>
    </w:p>
    <w:p w:rsidR="00063898" w:rsidRPr="00C54447" w:rsidRDefault="00063898" w:rsidP="00063898">
      <w:pPr>
        <w:spacing w:before="120" w:after="0" w:line="240" w:lineRule="auto"/>
        <w:contextualSpacing w:val="0"/>
        <w:rPr>
          <w:b/>
          <w:bCs/>
          <w:szCs w:val="28"/>
          <w:lang w:val="vi-VN"/>
        </w:rPr>
      </w:pPr>
      <w:r w:rsidRPr="00C54447">
        <w:rPr>
          <w:b/>
          <w:bCs/>
          <w:szCs w:val="28"/>
          <w:lang w:val="vi-VN"/>
        </w:rPr>
        <w:t xml:space="preserve">Điều </w:t>
      </w:r>
      <w:r w:rsidR="0086338A" w:rsidRPr="008753D6">
        <w:rPr>
          <w:b/>
          <w:bCs/>
          <w:szCs w:val="28"/>
          <w:lang w:val="vi-VN"/>
        </w:rPr>
        <w:t>13</w:t>
      </w:r>
      <w:r w:rsidRPr="00C54447">
        <w:rPr>
          <w:b/>
          <w:bCs/>
          <w:szCs w:val="28"/>
          <w:lang w:val="vi-VN"/>
        </w:rPr>
        <w:t>. Nguyên tắc hỗ trợ</w:t>
      </w:r>
    </w:p>
    <w:p w:rsidR="00063898" w:rsidRPr="002D73BB" w:rsidRDefault="00063898" w:rsidP="00063898">
      <w:pPr>
        <w:pStyle w:val="NormalWeb"/>
        <w:spacing w:before="120" w:beforeAutospacing="0" w:after="0" w:afterAutospacing="0"/>
        <w:contextualSpacing w:val="0"/>
        <w:rPr>
          <w:sz w:val="28"/>
          <w:szCs w:val="28"/>
          <w:lang w:val="vi-VN"/>
        </w:rPr>
      </w:pPr>
      <w:r>
        <w:rPr>
          <w:sz w:val="28"/>
          <w:szCs w:val="28"/>
          <w:lang w:val="vi-VN"/>
        </w:rPr>
        <w:t xml:space="preserve">1. </w:t>
      </w:r>
      <w:r w:rsidRPr="002D73BB">
        <w:rPr>
          <w:sz w:val="28"/>
          <w:szCs w:val="28"/>
          <w:lang w:val="vi-VN"/>
        </w:rPr>
        <w:t>Đối tượng được xem xét hỗ trợ từ Quỹ bao gồm hiệp hội ngành hàng và doanh nghiệp hoạt động tại Việt Nam là đối tượng bị điều tra trong các vụ việc phòng vệ thương mại do cơ quan điều tra của nước ngoài khởi xướng, khi đáp ứng các điều kiện sau đây:</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a) Vụ việc phòng vệ thương mại có ảnh hưởng đáng kể đến ngành hàng hoặc lợi ích xuất khẩu của Việt Nam; trong đó ưu tiên xem xét đối với:</w:t>
      </w:r>
    </w:p>
    <w:p w:rsidR="00063898" w:rsidRPr="002D73BB" w:rsidRDefault="00063898" w:rsidP="00063898">
      <w:pPr>
        <w:pStyle w:val="NormalWeb"/>
        <w:numPr>
          <w:ilvl w:val="0"/>
          <w:numId w:val="2"/>
        </w:numPr>
        <w:spacing w:before="120" w:beforeAutospacing="0" w:after="0" w:afterAutospacing="0"/>
        <w:contextualSpacing w:val="0"/>
        <w:rPr>
          <w:sz w:val="28"/>
          <w:szCs w:val="28"/>
          <w:lang w:val="vi-VN"/>
        </w:rPr>
      </w:pPr>
      <w:r w:rsidRPr="002D73BB">
        <w:rPr>
          <w:sz w:val="28"/>
          <w:szCs w:val="28"/>
          <w:lang w:val="vi-VN"/>
        </w:rPr>
        <w:t>Ngành hàng có vai trò chiến lược trong phát triển kinh tế – xã hội;</w:t>
      </w:r>
    </w:p>
    <w:p w:rsidR="00063898" w:rsidRPr="002D73BB" w:rsidRDefault="00063898" w:rsidP="00063898">
      <w:pPr>
        <w:pStyle w:val="NormalWeb"/>
        <w:numPr>
          <w:ilvl w:val="0"/>
          <w:numId w:val="2"/>
        </w:numPr>
        <w:spacing w:before="120" w:beforeAutospacing="0" w:after="0" w:afterAutospacing="0"/>
        <w:contextualSpacing w:val="0"/>
        <w:rPr>
          <w:sz w:val="28"/>
          <w:szCs w:val="28"/>
          <w:lang w:val="vi-VN"/>
        </w:rPr>
      </w:pPr>
      <w:r w:rsidRPr="002D73BB">
        <w:rPr>
          <w:sz w:val="28"/>
          <w:szCs w:val="28"/>
          <w:lang w:val="vi-VN"/>
        </w:rPr>
        <w:t>Ngành hàng có kim ngạch xuất khẩu lớn, từ 500 triệu đô la Mỹ (USD) trở lên trong năm liền kề trước năm phát sinh vụ việc;</w:t>
      </w:r>
    </w:p>
    <w:p w:rsidR="00063898" w:rsidRPr="002D73BB" w:rsidRDefault="00063898" w:rsidP="00063898">
      <w:pPr>
        <w:pStyle w:val="NormalWeb"/>
        <w:numPr>
          <w:ilvl w:val="0"/>
          <w:numId w:val="2"/>
        </w:numPr>
        <w:spacing w:before="120" w:beforeAutospacing="0" w:after="0" w:afterAutospacing="0"/>
        <w:contextualSpacing w:val="0"/>
        <w:rPr>
          <w:sz w:val="28"/>
          <w:szCs w:val="28"/>
          <w:lang w:val="vi-VN"/>
        </w:rPr>
      </w:pPr>
      <w:r w:rsidRPr="002D73BB">
        <w:rPr>
          <w:sz w:val="28"/>
          <w:szCs w:val="28"/>
          <w:lang w:val="vi-VN"/>
        </w:rPr>
        <w:t>Ngành hàng có tỷ lệ doanh nghiệp nhỏ và vừa chiếm từ 80% tổng số doanh nghiệp tham gia sản xuất, xuất khẩu trở lên;</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b) Có văn bản đề nghị hỗ trợ của hiệp hội ngành hàng hoặc của nhóm doanh nghiệp liên quan;</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c) Có phương án tham gia, ứng phó vụ việc kèm theo dự toán kinh phí cụ thể của hiệp hội ngành hàng hoặc của nhóm doanh nghiệp liên quan;</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d) Có cam kết bằng văn bản về việc phối hợp đầy đủ, kịp thời với cơ quan nhà nước có thẩm quyền trong suốt quá trình xử lý vụ việc.</w:t>
      </w:r>
    </w:p>
    <w:p w:rsidR="00063898" w:rsidRPr="002D73BB" w:rsidRDefault="00063898" w:rsidP="00063898">
      <w:pPr>
        <w:pStyle w:val="NormalWeb"/>
        <w:spacing w:before="120" w:beforeAutospacing="0" w:after="0" w:afterAutospacing="0"/>
        <w:contextualSpacing w:val="0"/>
        <w:rPr>
          <w:sz w:val="28"/>
          <w:szCs w:val="28"/>
          <w:lang w:val="vi-VN"/>
        </w:rPr>
      </w:pPr>
      <w:r>
        <w:rPr>
          <w:sz w:val="28"/>
          <w:szCs w:val="28"/>
          <w:lang w:val="vi-VN"/>
        </w:rPr>
        <w:t xml:space="preserve">2. </w:t>
      </w:r>
      <w:r w:rsidRPr="002D73BB">
        <w:rPr>
          <w:sz w:val="28"/>
          <w:szCs w:val="28"/>
          <w:lang w:val="vi-VN"/>
        </w:rPr>
        <w:t>Việc hỗ trợ từ Quỹ được thực hiện theo các nguyên tắc sau đây:</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a) Bảo đảm có trọng tâm, trọng điểm, phù hợp với chiến lược hội nhập kinh tế quốc tế và lợi ích quốc gia;</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b) Công khai, minh bạch, đúng mục đích, tiết kiệm, hiệu quả và tuân thủ quy định của pháp luật về ngân sách nhà nước;</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c) Ưu tiên các vụ việc có tác động lớn đến ngành hàng, hoạt động xuất khẩu, việc làm và an ninh kinh tế quốc gia.</w:t>
      </w:r>
    </w:p>
    <w:p w:rsidR="00063898" w:rsidRPr="00C54447" w:rsidRDefault="00063898" w:rsidP="00063898">
      <w:pPr>
        <w:spacing w:before="120" w:after="0" w:line="240" w:lineRule="auto"/>
        <w:contextualSpacing w:val="0"/>
        <w:rPr>
          <w:b/>
          <w:bCs/>
          <w:szCs w:val="28"/>
          <w:lang w:val="vi-VN"/>
        </w:rPr>
      </w:pPr>
      <w:r w:rsidRPr="00C54447">
        <w:rPr>
          <w:b/>
          <w:bCs/>
          <w:szCs w:val="28"/>
          <w:lang w:val="vi-VN"/>
        </w:rPr>
        <w:t xml:space="preserve">Điều </w:t>
      </w:r>
      <w:r w:rsidR="00756833" w:rsidRPr="008753D6">
        <w:rPr>
          <w:b/>
          <w:bCs/>
          <w:szCs w:val="28"/>
          <w:lang w:val="vi-VN"/>
        </w:rPr>
        <w:t>14</w:t>
      </w:r>
      <w:r w:rsidRPr="00C54447">
        <w:rPr>
          <w:b/>
          <w:bCs/>
          <w:szCs w:val="28"/>
          <w:lang w:val="vi-VN"/>
        </w:rPr>
        <w:t>. Nội dung hỗ trợ</w:t>
      </w:r>
    </w:p>
    <w:p w:rsidR="00063898" w:rsidRPr="002D73BB" w:rsidRDefault="00063898" w:rsidP="00063898">
      <w:pPr>
        <w:pStyle w:val="NormalWeb"/>
        <w:spacing w:before="120" w:beforeAutospacing="0" w:after="0" w:afterAutospacing="0"/>
        <w:contextualSpacing w:val="0"/>
        <w:rPr>
          <w:sz w:val="28"/>
          <w:szCs w:val="28"/>
          <w:lang w:val="vi-VN"/>
        </w:rPr>
      </w:pPr>
      <w:r>
        <w:rPr>
          <w:sz w:val="28"/>
          <w:szCs w:val="28"/>
          <w:lang w:val="vi-VN"/>
        </w:rPr>
        <w:t xml:space="preserve">1. </w:t>
      </w:r>
      <w:r w:rsidRPr="002D73BB">
        <w:rPr>
          <w:sz w:val="28"/>
          <w:szCs w:val="28"/>
          <w:lang w:val="vi-VN"/>
        </w:rPr>
        <w:t>Quỹ thực hiện hỗ trợ thường xuyên hằng năm đối với hiệp hội ngành hàng theo kế hoạch được phê duyệt, bao gồm kinh phí thuê luật sư, tổ chức hành nghề luật sư, tổ chức cung cấp dịch vụ pháp lý hoặc đơn vị tư vấn nhằm thực hiện các hoạt động sau đây:</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a) Tham gia rà soát biện pháp phòng vệ thương mại do nước ngoài áp dụng đối với hàng hóa xuất khẩu của Việt Nam;</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b) Đánh giá tác động, phân tích xu hướng và xây dựng phương án ứng phó;</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c) Thực hiện công tác cảnh báo sớm nguy cơ khởi xướng điều tra phòng vệ thương mại;</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d) Xây dựng, cập nhật cơ sở dữ liệu ngành hàng; thu thập, tổng hợp và phân tích thông tin thị trường phục vụ hoạt động phòng vệ thương mại;</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đ) Các hoạt động chuyên môn khác phục vụ công tác phòng vệ thương mại theo quy định của pháp luật.</w:t>
      </w:r>
    </w:p>
    <w:p w:rsidR="00063898" w:rsidRPr="002D73BB" w:rsidRDefault="00063898" w:rsidP="00063898">
      <w:pPr>
        <w:pStyle w:val="NormalWeb"/>
        <w:spacing w:before="120" w:beforeAutospacing="0" w:after="0" w:afterAutospacing="0"/>
        <w:contextualSpacing w:val="0"/>
        <w:rPr>
          <w:sz w:val="28"/>
          <w:szCs w:val="28"/>
          <w:lang w:val="vi-VN"/>
        </w:rPr>
      </w:pPr>
      <w:r>
        <w:rPr>
          <w:sz w:val="28"/>
          <w:szCs w:val="28"/>
          <w:lang w:val="vi-VN"/>
        </w:rPr>
        <w:t xml:space="preserve">2. </w:t>
      </w:r>
      <w:r w:rsidRPr="002D73BB">
        <w:rPr>
          <w:sz w:val="28"/>
          <w:szCs w:val="28"/>
          <w:lang w:val="vi-VN"/>
        </w:rPr>
        <w:t>Quỹ thực hiện hỗ trợ đối với từng vụ việc phòng vệ thương mại cụ thể do cơ quan điều tra của nước ngoài khởi xướng, bao gồm kinh phí thuê luật sư, tổ chức hành nghề luật sư, tổ chức cung cấp dịch vụ pháp lý hoặc đơn vị tư vấn để tham gia xử lý vụ việc trong toàn bộ các giai đoạn của quá trình điều tra đến khi áp dụng biện pháp cuối cùng, bao gồm nhưng không giới hạn ở các hoạt động:</w:t>
      </w:r>
    </w:p>
    <w:p w:rsidR="00063898" w:rsidRPr="002D73BB" w:rsidRDefault="00063898" w:rsidP="00063898">
      <w:pPr>
        <w:pStyle w:val="NormalWeb"/>
        <w:spacing w:before="120" w:beforeAutospacing="0" w:after="0" w:afterAutospacing="0"/>
        <w:contextualSpacing w:val="0"/>
        <w:rPr>
          <w:sz w:val="28"/>
          <w:szCs w:val="28"/>
          <w:lang w:val="vi-VN"/>
        </w:rPr>
      </w:pPr>
      <w:r w:rsidRPr="002D73BB">
        <w:rPr>
          <w:sz w:val="28"/>
          <w:szCs w:val="28"/>
          <w:lang w:val="vi-VN"/>
        </w:rPr>
        <w:t>a) Trả lời bản câu hỏi điều tra;</w:t>
      </w:r>
    </w:p>
    <w:p w:rsidR="00063898" w:rsidRPr="002D73BB" w:rsidRDefault="00063898" w:rsidP="00063898">
      <w:pPr>
        <w:pStyle w:val="NormalWeb"/>
        <w:spacing w:before="120" w:beforeAutospacing="0" w:after="0" w:afterAutospacing="0"/>
        <w:contextualSpacing w:val="0"/>
        <w:rPr>
          <w:sz w:val="28"/>
          <w:szCs w:val="28"/>
        </w:rPr>
      </w:pPr>
      <w:r w:rsidRPr="002D73BB">
        <w:rPr>
          <w:sz w:val="28"/>
          <w:szCs w:val="28"/>
        </w:rPr>
        <w:t>b) Tham gia thẩm tra, xác minh tại chỗ;</w:t>
      </w:r>
    </w:p>
    <w:p w:rsidR="00063898" w:rsidRPr="002D73BB" w:rsidRDefault="00063898" w:rsidP="00063898">
      <w:pPr>
        <w:pStyle w:val="NormalWeb"/>
        <w:spacing w:before="120" w:beforeAutospacing="0" w:after="0" w:afterAutospacing="0"/>
        <w:contextualSpacing w:val="0"/>
        <w:rPr>
          <w:sz w:val="28"/>
          <w:szCs w:val="28"/>
        </w:rPr>
      </w:pPr>
      <w:r w:rsidRPr="002D73BB">
        <w:rPr>
          <w:sz w:val="28"/>
          <w:szCs w:val="28"/>
        </w:rPr>
        <w:t>c) Tham vấn, điều trần;</w:t>
      </w:r>
    </w:p>
    <w:p w:rsidR="00063898" w:rsidRPr="002D73BB" w:rsidRDefault="00063898" w:rsidP="00063898">
      <w:pPr>
        <w:pStyle w:val="NormalWeb"/>
        <w:spacing w:before="120" w:beforeAutospacing="0" w:after="0" w:afterAutospacing="0"/>
        <w:contextualSpacing w:val="0"/>
        <w:rPr>
          <w:sz w:val="28"/>
          <w:szCs w:val="28"/>
        </w:rPr>
      </w:pPr>
      <w:r w:rsidRPr="002D73BB">
        <w:rPr>
          <w:sz w:val="28"/>
          <w:szCs w:val="28"/>
        </w:rPr>
        <w:t>d) Nộp bình luận, ý kiến và các tài liệu, thông tin theo yêu cầu của cơ quan điều tra nước ngoài;</w:t>
      </w:r>
    </w:p>
    <w:p w:rsidR="00063898" w:rsidRPr="002D73BB" w:rsidRDefault="00063898" w:rsidP="00063898">
      <w:pPr>
        <w:pStyle w:val="NormalWeb"/>
        <w:spacing w:before="120" w:beforeAutospacing="0" w:after="0" w:afterAutospacing="0"/>
        <w:contextualSpacing w:val="0"/>
        <w:rPr>
          <w:sz w:val="28"/>
          <w:szCs w:val="28"/>
        </w:rPr>
      </w:pPr>
      <w:r w:rsidRPr="002D73BB">
        <w:rPr>
          <w:sz w:val="28"/>
          <w:szCs w:val="28"/>
        </w:rPr>
        <w:t>đ) Các hoạt động nghiệp vụ khác có liên quan đến việc bảo vệ quyền và lợi ích hợp pháp của doanh nghiệp, ngành hàng Việt Nam.</w:t>
      </w:r>
    </w:p>
    <w:p w:rsidR="00063898" w:rsidRPr="002D73BB" w:rsidRDefault="00063898" w:rsidP="00063898">
      <w:pPr>
        <w:pStyle w:val="NormalWeb"/>
        <w:spacing w:before="120" w:beforeAutospacing="0" w:after="0" w:afterAutospacing="0"/>
        <w:contextualSpacing w:val="0"/>
        <w:rPr>
          <w:sz w:val="28"/>
          <w:szCs w:val="28"/>
        </w:rPr>
      </w:pPr>
      <w:r w:rsidRPr="002D73BB">
        <w:rPr>
          <w:sz w:val="28"/>
          <w:szCs w:val="28"/>
        </w:rPr>
        <w:t>Việc hỗ trợ quy định tại khoản này được thực hiện trên cơ sở đề nghị của hiệp hội ngành hàng hoặc nhóm doanh nghiệp liên quan</w:t>
      </w:r>
      <w:r>
        <w:rPr>
          <w:sz w:val="28"/>
          <w:szCs w:val="28"/>
        </w:rPr>
        <w:t xml:space="preserve"> sau khi </w:t>
      </w:r>
      <w:r>
        <w:rPr>
          <w:sz w:val="28"/>
          <w:szCs w:val="28"/>
          <w:lang w:val="vi-VN"/>
        </w:rPr>
        <w:t>được</w:t>
      </w:r>
      <w:r w:rsidRPr="002D73BB">
        <w:rPr>
          <w:sz w:val="28"/>
          <w:szCs w:val="28"/>
        </w:rPr>
        <w:t xml:space="preserve"> cơ quan có thẩm quyền quản lý Quỹ</w:t>
      </w:r>
      <w:r>
        <w:rPr>
          <w:sz w:val="28"/>
          <w:szCs w:val="28"/>
          <w:lang w:val="vi-VN"/>
        </w:rPr>
        <w:t xml:space="preserve"> chấp thuận</w:t>
      </w:r>
      <w:r w:rsidRPr="002D73BB">
        <w:rPr>
          <w:sz w:val="28"/>
          <w:szCs w:val="28"/>
        </w:rPr>
        <w:t>.</w:t>
      </w:r>
    </w:p>
    <w:p w:rsidR="00063898" w:rsidRPr="00C54447" w:rsidRDefault="00063898" w:rsidP="00063898">
      <w:pPr>
        <w:spacing w:before="120" w:after="0" w:line="240" w:lineRule="auto"/>
        <w:contextualSpacing w:val="0"/>
        <w:rPr>
          <w:b/>
          <w:bCs/>
          <w:szCs w:val="28"/>
          <w:lang w:val="vi-VN"/>
        </w:rPr>
      </w:pPr>
      <w:r w:rsidRPr="00C54447">
        <w:rPr>
          <w:b/>
          <w:bCs/>
          <w:szCs w:val="28"/>
          <w:lang w:val="vi-VN"/>
        </w:rPr>
        <w:t xml:space="preserve">Điều </w:t>
      </w:r>
      <w:r w:rsidR="00756833">
        <w:rPr>
          <w:b/>
          <w:bCs/>
          <w:szCs w:val="28"/>
        </w:rPr>
        <w:t>15</w:t>
      </w:r>
      <w:r w:rsidRPr="00C54447">
        <w:rPr>
          <w:b/>
          <w:bCs/>
          <w:szCs w:val="28"/>
          <w:lang w:val="vi-VN"/>
        </w:rPr>
        <w:t>. Định mức sử dụng và thanh quyết toán kinh phí hoạt động hỗ trợ phòng vệ thương mại sử dụng nguồn kinh phí từ Quỹ</w:t>
      </w:r>
    </w:p>
    <w:p w:rsidR="00063898" w:rsidRPr="008753D6" w:rsidRDefault="00063898" w:rsidP="00063898">
      <w:pPr>
        <w:spacing w:before="120" w:after="0" w:line="240" w:lineRule="auto"/>
        <w:contextualSpacing w:val="0"/>
        <w:rPr>
          <w:b/>
          <w:lang w:val="vi-VN"/>
        </w:rPr>
      </w:pPr>
      <w:r w:rsidRPr="00C54447">
        <w:rPr>
          <w:i/>
          <w:iCs/>
          <w:szCs w:val="28"/>
          <w:lang w:val="vi-VN"/>
        </w:rPr>
        <w:t xml:space="preserve">(Nội dung Điều </w:t>
      </w:r>
      <w:r w:rsidR="00756833" w:rsidRPr="008753D6">
        <w:rPr>
          <w:i/>
          <w:iCs/>
          <w:szCs w:val="28"/>
          <w:lang w:val="vi-VN"/>
        </w:rPr>
        <w:t>15</w:t>
      </w:r>
      <w:r w:rsidRPr="00C54447">
        <w:rPr>
          <w:i/>
          <w:iCs/>
          <w:szCs w:val="28"/>
          <w:lang w:val="vi-VN"/>
        </w:rPr>
        <w:t xml:space="preserve"> đề xuất Bộ Tài chính quy định).</w:t>
      </w:r>
    </w:p>
    <w:p w:rsidR="00063898" w:rsidRPr="008753D6" w:rsidRDefault="00063898" w:rsidP="00063898">
      <w:pPr>
        <w:spacing w:before="120" w:after="0" w:line="240" w:lineRule="auto"/>
        <w:contextualSpacing w:val="0"/>
        <w:rPr>
          <w:b/>
          <w:lang w:val="vi-VN"/>
        </w:rPr>
      </w:pPr>
    </w:p>
    <w:p w:rsidR="00063898" w:rsidRPr="008753D6" w:rsidRDefault="00063898" w:rsidP="00063898">
      <w:pPr>
        <w:spacing w:before="120" w:after="0" w:line="240" w:lineRule="auto"/>
        <w:contextualSpacing w:val="0"/>
        <w:jc w:val="center"/>
        <w:rPr>
          <w:b/>
          <w:lang w:val="vi-VN"/>
        </w:rPr>
      </w:pPr>
      <w:r w:rsidRPr="008753D6">
        <w:rPr>
          <w:b/>
          <w:lang w:val="vi-VN"/>
        </w:rPr>
        <w:t>Chương IV</w:t>
      </w:r>
    </w:p>
    <w:p w:rsidR="00063898" w:rsidRPr="008753D6" w:rsidRDefault="00063898" w:rsidP="00063898">
      <w:pPr>
        <w:spacing w:before="120" w:after="0" w:line="240" w:lineRule="auto"/>
        <w:contextualSpacing w:val="0"/>
        <w:jc w:val="center"/>
        <w:rPr>
          <w:lang w:val="vi-VN"/>
        </w:rPr>
      </w:pPr>
      <w:r w:rsidRPr="008753D6">
        <w:rPr>
          <w:b/>
          <w:lang w:val="vi-VN"/>
        </w:rPr>
        <w:t>QUY ĐỊNH CHI TIẾT ĐIỀU 13</w:t>
      </w:r>
    </w:p>
    <w:p w:rsidR="00063898" w:rsidRPr="008753D6" w:rsidRDefault="00063898" w:rsidP="00063898">
      <w:pPr>
        <w:spacing w:before="120" w:after="0" w:line="240" w:lineRule="auto"/>
        <w:contextualSpacing w:val="0"/>
        <w:rPr>
          <w:lang w:val="vi-VN"/>
        </w:rPr>
      </w:pPr>
    </w:p>
    <w:p w:rsidR="00063898" w:rsidRPr="008753D6" w:rsidRDefault="00063898" w:rsidP="00063898">
      <w:pPr>
        <w:pStyle w:val="Heading2"/>
        <w:spacing w:before="120" w:line="240" w:lineRule="auto"/>
        <w:contextualSpacing w:val="0"/>
        <w:rPr>
          <w:lang w:val="vi-VN"/>
        </w:rPr>
      </w:pPr>
      <w:bookmarkStart w:id="9" w:name="dieu_8"/>
      <w:r w:rsidRPr="008753D6">
        <w:rPr>
          <w:lang w:val="vi-VN"/>
        </w:rPr>
        <w:t xml:space="preserve">Điều </w:t>
      </w:r>
      <w:r w:rsidR="00152265" w:rsidRPr="008753D6">
        <w:rPr>
          <w:lang w:val="vi-VN"/>
        </w:rPr>
        <w:t>16</w:t>
      </w:r>
      <w:r w:rsidRPr="008753D6">
        <w:rPr>
          <w:lang w:val="vi-VN"/>
        </w:rPr>
        <w:t>. Mục đích thành lập của Quỹ</w:t>
      </w:r>
      <w:bookmarkEnd w:id="9"/>
    </w:p>
    <w:p w:rsidR="00063898" w:rsidRPr="008753D6" w:rsidRDefault="00063898" w:rsidP="00063898">
      <w:pPr>
        <w:spacing w:before="120" w:after="0" w:line="240" w:lineRule="auto"/>
        <w:contextualSpacing w:val="0"/>
        <w:rPr>
          <w:lang w:val="vi-VN"/>
        </w:rPr>
      </w:pPr>
      <w:r w:rsidRPr="008753D6">
        <w:rPr>
          <w:lang w:val="vi-VN"/>
        </w:rPr>
        <w:t>Quỹ Xúc tiến xuất khẩu ngành hàng do các Hiệp hội ngành hàng thành lập, hoạt động nhằm thúc đẩy nghiên cứu, phát triển và đổi mới sáng tạo; xây dựng thương hiệu; hỗ trợ phòng vệ thương mại và đáp ứng các tiêu chuẩn kỹ thuật, môi trường của đối tác nước ngoài.</w:t>
      </w:r>
    </w:p>
    <w:p w:rsidR="00063898" w:rsidRPr="008753D6" w:rsidRDefault="00063898" w:rsidP="00063898">
      <w:pPr>
        <w:spacing w:before="120" w:after="0" w:line="240" w:lineRule="auto"/>
        <w:contextualSpacing w:val="0"/>
        <w:rPr>
          <w:b/>
          <w:lang w:val="vi-VN"/>
        </w:rPr>
      </w:pPr>
      <w:r w:rsidRPr="008753D6">
        <w:rPr>
          <w:b/>
          <w:lang w:val="vi-VN"/>
        </w:rPr>
        <w:t xml:space="preserve">Điều </w:t>
      </w:r>
      <w:r w:rsidR="00152265" w:rsidRPr="008753D6">
        <w:rPr>
          <w:b/>
          <w:lang w:val="vi-VN"/>
        </w:rPr>
        <w:t>17</w:t>
      </w:r>
      <w:r w:rsidRPr="008753D6">
        <w:rPr>
          <w:b/>
          <w:lang w:val="vi-VN"/>
        </w:rPr>
        <w:t>. Nguyên tắc tổ chức và hoạt động của Quỹ</w:t>
      </w:r>
    </w:p>
    <w:p w:rsidR="00063898" w:rsidRPr="008753D6" w:rsidRDefault="00063898" w:rsidP="00063898">
      <w:pPr>
        <w:pStyle w:val="ListParagraph"/>
        <w:numPr>
          <w:ilvl w:val="0"/>
          <w:numId w:val="1"/>
        </w:numPr>
        <w:tabs>
          <w:tab w:val="left" w:pos="993"/>
        </w:tabs>
        <w:spacing w:before="120" w:after="0" w:line="240" w:lineRule="auto"/>
        <w:ind w:left="0" w:firstLine="720"/>
        <w:contextualSpacing w:val="0"/>
        <w:rPr>
          <w:lang w:val="vi-VN"/>
        </w:rPr>
      </w:pPr>
      <w:r w:rsidRPr="008753D6">
        <w:rPr>
          <w:lang w:val="vi-VN"/>
        </w:rPr>
        <w:t>Thành lập và hoạt động không vì mục tiêu lợi nhuận.</w:t>
      </w:r>
    </w:p>
    <w:p w:rsidR="00063898" w:rsidRPr="008753D6" w:rsidRDefault="00063898" w:rsidP="00063898">
      <w:pPr>
        <w:pStyle w:val="ListParagraph"/>
        <w:numPr>
          <w:ilvl w:val="0"/>
          <w:numId w:val="1"/>
        </w:numPr>
        <w:tabs>
          <w:tab w:val="left" w:pos="993"/>
        </w:tabs>
        <w:spacing w:before="120" w:after="0" w:line="240" w:lineRule="auto"/>
        <w:ind w:left="0" w:firstLine="720"/>
        <w:contextualSpacing w:val="0"/>
        <w:rPr>
          <w:lang w:val="vi-VN"/>
        </w:rPr>
      </w:pPr>
      <w:r w:rsidRPr="008753D6">
        <w:rPr>
          <w:lang w:val="vi-VN"/>
        </w:rPr>
        <w:t>Tự nguyện, tự chủ, tự trang trải và tự chịu trách nhiệm trước pháp luật bằng tài sản của Quỹ.</w:t>
      </w:r>
    </w:p>
    <w:p w:rsidR="00063898" w:rsidRPr="008753D6" w:rsidRDefault="00063898" w:rsidP="00063898">
      <w:pPr>
        <w:pStyle w:val="ListParagraph"/>
        <w:numPr>
          <w:ilvl w:val="0"/>
          <w:numId w:val="1"/>
        </w:numPr>
        <w:tabs>
          <w:tab w:val="left" w:pos="993"/>
        </w:tabs>
        <w:spacing w:before="120" w:after="0" w:line="240" w:lineRule="auto"/>
        <w:ind w:left="0" w:firstLine="720"/>
        <w:contextualSpacing w:val="0"/>
        <w:rPr>
          <w:lang w:val="vi-VN"/>
        </w:rPr>
      </w:pPr>
      <w:r w:rsidRPr="008753D6">
        <w:rPr>
          <w:lang w:val="vi-VN"/>
        </w:rPr>
        <w:t>Tổ chức, hoạt động theo quy định của pháp luật,</w:t>
      </w:r>
      <w:r w:rsidRPr="008753D6">
        <w:rPr>
          <w:color w:val="FF0000"/>
          <w:lang w:val="vi-VN"/>
        </w:rPr>
        <w:t xml:space="preserve"> </w:t>
      </w:r>
      <w:r w:rsidRPr="008753D6">
        <w:rPr>
          <w:lang w:val="vi-VN"/>
        </w:rPr>
        <w:t>của Hiệp hội ngành hàng thành lập Quỹ và Điều lệ của Quỹ.</w:t>
      </w:r>
    </w:p>
    <w:p w:rsidR="00063898" w:rsidRPr="008753D6" w:rsidRDefault="00063898" w:rsidP="00063898">
      <w:pPr>
        <w:pStyle w:val="ListParagraph"/>
        <w:numPr>
          <w:ilvl w:val="0"/>
          <w:numId w:val="1"/>
        </w:numPr>
        <w:tabs>
          <w:tab w:val="left" w:pos="993"/>
        </w:tabs>
        <w:spacing w:before="120" w:after="0" w:line="240" w:lineRule="auto"/>
        <w:ind w:left="0" w:firstLine="720"/>
        <w:contextualSpacing w:val="0"/>
        <w:rPr>
          <w:lang w:val="vi-VN"/>
        </w:rPr>
      </w:pPr>
      <w:r w:rsidRPr="008753D6">
        <w:rPr>
          <w:lang w:val="vi-VN"/>
        </w:rPr>
        <w:t>Công khai, minh bạch về tổ chức, hoạt động và thu, chi tài chính, tài sản của Quỹ.</w:t>
      </w:r>
    </w:p>
    <w:p w:rsidR="00063898" w:rsidRPr="008753D6" w:rsidRDefault="00063898" w:rsidP="00063898">
      <w:pPr>
        <w:spacing w:before="120" w:after="0" w:line="240" w:lineRule="auto"/>
        <w:contextualSpacing w:val="0"/>
        <w:rPr>
          <w:b/>
          <w:lang w:val="vi-VN"/>
        </w:rPr>
      </w:pPr>
      <w:r w:rsidRPr="008753D6">
        <w:rPr>
          <w:b/>
          <w:lang w:val="vi-VN"/>
        </w:rPr>
        <w:t xml:space="preserve">Điều </w:t>
      </w:r>
      <w:r w:rsidR="00152265" w:rsidRPr="008753D6">
        <w:rPr>
          <w:b/>
          <w:lang w:val="vi-VN"/>
        </w:rPr>
        <w:t>18</w:t>
      </w:r>
      <w:r w:rsidRPr="008753D6">
        <w:rPr>
          <w:b/>
          <w:lang w:val="vi-VN"/>
        </w:rPr>
        <w:t>. Chính sách của nhà nước đối với Quỹ</w:t>
      </w:r>
    </w:p>
    <w:p w:rsidR="00063898" w:rsidRPr="008753D6" w:rsidRDefault="00063898" w:rsidP="00063898">
      <w:pPr>
        <w:pStyle w:val="ListParagraph"/>
        <w:tabs>
          <w:tab w:val="left" w:pos="851"/>
        </w:tabs>
        <w:spacing w:before="120" w:after="0" w:line="240" w:lineRule="auto"/>
        <w:ind w:left="0" w:firstLine="709"/>
        <w:contextualSpacing w:val="0"/>
        <w:rPr>
          <w:lang w:val="vi-VN"/>
        </w:rPr>
      </w:pPr>
      <w:r w:rsidRPr="008753D6">
        <w:rPr>
          <w:lang w:val="vi-VN"/>
        </w:rPr>
        <w:t xml:space="preserve">1. Nhà nước khuyến khích các Hiệp hội ngành hàng thành lập Quỹ, tạo điều kiện để Quỹ tổ chức, hoạt động theo đúng quy định của pháp luật và điều lệ của Quỹ. </w:t>
      </w:r>
    </w:p>
    <w:p w:rsidR="00063898" w:rsidRPr="008753D6" w:rsidRDefault="00063898" w:rsidP="00063898">
      <w:pPr>
        <w:pStyle w:val="ListParagraph"/>
        <w:tabs>
          <w:tab w:val="left" w:pos="851"/>
        </w:tabs>
        <w:spacing w:before="120" w:after="0" w:line="240" w:lineRule="auto"/>
        <w:ind w:left="0" w:firstLine="709"/>
        <w:contextualSpacing w:val="0"/>
        <w:rPr>
          <w:lang w:val="vi-VN"/>
        </w:rPr>
      </w:pPr>
      <w:r w:rsidRPr="008753D6">
        <w:rPr>
          <w:lang w:val="vi-VN"/>
        </w:rPr>
        <w:t>2. Việc đóng góp tài sản của cá nhân, tổ chức vào Quỹ được áp dụng các chính sách ưu đãi của nhà nước theo quy định của pháp luật.</w:t>
      </w:r>
    </w:p>
    <w:p w:rsidR="00063898" w:rsidRPr="008753D6" w:rsidRDefault="00063898" w:rsidP="00063898">
      <w:pPr>
        <w:spacing w:before="120" w:after="0" w:line="240" w:lineRule="auto"/>
        <w:ind w:left="720" w:firstLine="0"/>
        <w:contextualSpacing w:val="0"/>
        <w:rPr>
          <w:b/>
          <w:lang w:val="vi-VN"/>
        </w:rPr>
      </w:pPr>
      <w:r w:rsidRPr="008753D6">
        <w:rPr>
          <w:b/>
          <w:lang w:val="vi-VN"/>
        </w:rPr>
        <w:t xml:space="preserve">Điều </w:t>
      </w:r>
      <w:r w:rsidR="00152265" w:rsidRPr="008753D6">
        <w:rPr>
          <w:b/>
          <w:lang w:val="vi-VN"/>
        </w:rPr>
        <w:t>19</w:t>
      </w:r>
      <w:r w:rsidRPr="008753D6">
        <w:rPr>
          <w:b/>
          <w:lang w:val="vi-VN"/>
        </w:rPr>
        <w:t>. Thành lập Quỹ</w:t>
      </w:r>
    </w:p>
    <w:p w:rsidR="00063898" w:rsidRPr="008753D6" w:rsidRDefault="00063898" w:rsidP="00063898">
      <w:pPr>
        <w:spacing w:before="120" w:after="0" w:line="240" w:lineRule="auto"/>
        <w:contextualSpacing w:val="0"/>
        <w:rPr>
          <w:lang w:val="vi-VN"/>
        </w:rPr>
      </w:pPr>
      <w:r w:rsidRPr="008753D6">
        <w:rPr>
          <w:lang w:val="vi-VN"/>
        </w:rPr>
        <w:t xml:space="preserve">1. Các Hiệp hội ngành hàng </w:t>
      </w:r>
      <w:r w:rsidRPr="008753D6">
        <w:rPr>
          <w:color w:val="FF0000"/>
          <w:highlight w:val="yellow"/>
          <w:lang w:val="vi-VN"/>
        </w:rPr>
        <w:t>có kim ngạch xuất khẩu trung bình trong 03 năm liên tiếp gần nhất đạt tối thiểu từ 01 tỷ USD/năm</w:t>
      </w:r>
      <w:r w:rsidRPr="008753D6">
        <w:rPr>
          <w:color w:val="FF0000"/>
          <w:lang w:val="vi-VN"/>
        </w:rPr>
        <w:t xml:space="preserve"> </w:t>
      </w:r>
      <w:r w:rsidRPr="008753D6">
        <w:rPr>
          <w:lang w:val="vi-VN"/>
        </w:rPr>
        <w:t xml:space="preserve">được phép thành lập Qũy Xúc tiến xuất khẩu cho ngành hàng của mình. </w:t>
      </w:r>
    </w:p>
    <w:p w:rsidR="00063898" w:rsidRPr="008753D6" w:rsidRDefault="00063898" w:rsidP="00063898">
      <w:pPr>
        <w:spacing w:before="120" w:after="0" w:line="240" w:lineRule="auto"/>
        <w:contextualSpacing w:val="0"/>
        <w:rPr>
          <w:lang w:val="vi-VN"/>
        </w:rPr>
      </w:pPr>
      <w:bookmarkStart w:id="10" w:name="dieu_2"/>
      <w:r w:rsidRPr="008753D6">
        <w:rPr>
          <w:bCs/>
          <w:lang w:val="vi-VN"/>
        </w:rPr>
        <w:t>2.</w:t>
      </w:r>
      <w:r w:rsidRPr="008753D6">
        <w:rPr>
          <w:b/>
          <w:bCs/>
          <w:lang w:val="vi-VN"/>
        </w:rPr>
        <w:t xml:space="preserve"> </w:t>
      </w:r>
      <w:r w:rsidRPr="008753D6">
        <w:rPr>
          <w:lang w:val="vi-VN"/>
        </w:rPr>
        <w:t>Quỹ Xúc tiến xuất khẩu có tư cách pháp nhân, có con dấu riêng, được mở tài khoản tại Kho bạc Nhà nước hoặc các Ngân hàng Thương mại.</w:t>
      </w:r>
      <w:bookmarkEnd w:id="10"/>
    </w:p>
    <w:p w:rsidR="00063898" w:rsidRPr="008753D6" w:rsidRDefault="00063898" w:rsidP="00063898">
      <w:pPr>
        <w:spacing w:before="120" w:after="0" w:line="240" w:lineRule="auto"/>
        <w:contextualSpacing w:val="0"/>
        <w:rPr>
          <w:lang w:val="vi-VN"/>
        </w:rPr>
      </w:pPr>
      <w:r w:rsidRPr="008753D6">
        <w:rPr>
          <w:b/>
          <w:bCs/>
          <w:lang w:val="vi-VN"/>
        </w:rPr>
        <w:t xml:space="preserve">Điều </w:t>
      </w:r>
      <w:r w:rsidR="00152265" w:rsidRPr="008753D6">
        <w:rPr>
          <w:b/>
          <w:bCs/>
          <w:lang w:val="vi-VN"/>
        </w:rPr>
        <w:t>20</w:t>
      </w:r>
      <w:r w:rsidRPr="008753D6">
        <w:rPr>
          <w:b/>
          <w:bCs/>
          <w:lang w:val="vi-VN"/>
        </w:rPr>
        <w:t>.</w:t>
      </w:r>
      <w:r w:rsidRPr="008753D6">
        <w:rPr>
          <w:lang w:val="vi-VN"/>
        </w:rPr>
        <w:t xml:space="preserve"> </w:t>
      </w:r>
      <w:r w:rsidRPr="008753D6">
        <w:rPr>
          <w:b/>
          <w:lang w:val="vi-VN"/>
        </w:rPr>
        <w:t xml:space="preserve">Nguồn hình thành Qũy </w:t>
      </w:r>
    </w:p>
    <w:p w:rsidR="00063898" w:rsidRPr="008753D6" w:rsidRDefault="00063898" w:rsidP="00063898">
      <w:pPr>
        <w:spacing w:before="120" w:after="0" w:line="240" w:lineRule="auto"/>
        <w:contextualSpacing w:val="0"/>
        <w:rPr>
          <w:lang w:val="vi-VN"/>
        </w:rPr>
      </w:pPr>
      <w:r w:rsidRPr="008753D6">
        <w:rPr>
          <w:lang w:val="vi-VN"/>
        </w:rPr>
        <w:t>1. Nguồn đóng góp của các hội viên trong Hiệp hội ngành hàng. Mức và thời hạn đóng góp cụ thể do Hiệp hội ngành hàng thống nhất quy định.</w:t>
      </w:r>
    </w:p>
    <w:p w:rsidR="00063898" w:rsidRPr="008753D6" w:rsidRDefault="00063898" w:rsidP="00063898">
      <w:pPr>
        <w:spacing w:before="120" w:after="0" w:line="240" w:lineRule="auto"/>
        <w:contextualSpacing w:val="0"/>
        <w:rPr>
          <w:lang w:val="vi-VN"/>
        </w:rPr>
      </w:pPr>
      <w:r w:rsidRPr="008753D6">
        <w:rPr>
          <w:lang w:val="vi-VN"/>
        </w:rPr>
        <w:t>2. Tài trợ hợp pháp của các tổ chức, cá nhân trong và ngoài nước.</w:t>
      </w:r>
    </w:p>
    <w:p w:rsidR="00063898" w:rsidRPr="008753D6" w:rsidRDefault="00063898" w:rsidP="00063898">
      <w:pPr>
        <w:spacing w:before="120" w:after="0" w:line="240" w:lineRule="auto"/>
        <w:contextualSpacing w:val="0"/>
        <w:rPr>
          <w:lang w:val="vi-VN"/>
        </w:rPr>
      </w:pPr>
      <w:r w:rsidRPr="008753D6">
        <w:rPr>
          <w:lang w:val="vi-VN"/>
        </w:rPr>
        <w:t>3. Các nguồn thu hợp pháp khác.</w:t>
      </w:r>
    </w:p>
    <w:p w:rsidR="00063898" w:rsidRPr="008753D6" w:rsidRDefault="00063898" w:rsidP="00063898">
      <w:pPr>
        <w:spacing w:before="120" w:after="0" w:line="240" w:lineRule="auto"/>
        <w:contextualSpacing w:val="0"/>
        <w:rPr>
          <w:lang w:val="vi-VN"/>
        </w:rPr>
      </w:pPr>
    </w:p>
    <w:p w:rsidR="00063898" w:rsidRPr="008753D6" w:rsidRDefault="00063898" w:rsidP="00063898">
      <w:pPr>
        <w:spacing w:before="120" w:after="0" w:line="240" w:lineRule="auto"/>
        <w:ind w:firstLine="0"/>
        <w:contextualSpacing w:val="0"/>
        <w:jc w:val="center"/>
        <w:rPr>
          <w:b/>
          <w:lang w:val="vi-VN"/>
        </w:rPr>
      </w:pPr>
      <w:r w:rsidRPr="008753D6">
        <w:rPr>
          <w:b/>
          <w:lang w:val="vi-VN"/>
        </w:rPr>
        <w:t>Chương V</w:t>
      </w:r>
    </w:p>
    <w:p w:rsidR="00063898" w:rsidRPr="008753D6" w:rsidRDefault="00063898" w:rsidP="00063898">
      <w:pPr>
        <w:spacing w:before="120" w:after="0" w:line="240" w:lineRule="auto"/>
        <w:ind w:firstLine="0"/>
        <w:contextualSpacing w:val="0"/>
        <w:jc w:val="center"/>
        <w:rPr>
          <w:b/>
          <w:lang w:val="vi-VN"/>
        </w:rPr>
      </w:pPr>
      <w:r w:rsidRPr="008753D6">
        <w:rPr>
          <w:b/>
          <w:lang w:val="vi-VN"/>
        </w:rPr>
        <w:t>TỔ CHỨC THỰC HIỆN</w:t>
      </w:r>
    </w:p>
    <w:p w:rsidR="00063898" w:rsidRPr="008753D6" w:rsidRDefault="00063898" w:rsidP="00063898">
      <w:pPr>
        <w:pStyle w:val="Heading2"/>
        <w:spacing w:before="120" w:line="240" w:lineRule="auto"/>
        <w:contextualSpacing w:val="0"/>
        <w:rPr>
          <w:lang w:val="vi-VN"/>
        </w:rPr>
      </w:pPr>
      <w:bookmarkStart w:id="11" w:name="dieu_49"/>
      <w:r w:rsidRPr="008753D6">
        <w:rPr>
          <w:lang w:val="vi-VN"/>
        </w:rPr>
        <w:t xml:space="preserve">Điều </w:t>
      </w:r>
      <w:r w:rsidR="00152265" w:rsidRPr="008753D6">
        <w:rPr>
          <w:lang w:val="vi-VN"/>
        </w:rPr>
        <w:t>21</w:t>
      </w:r>
      <w:r w:rsidRPr="008753D6">
        <w:rPr>
          <w:lang w:val="vi-VN"/>
        </w:rPr>
        <w:t>. Hiệu lực thi hành</w:t>
      </w:r>
      <w:bookmarkEnd w:id="11"/>
    </w:p>
    <w:p w:rsidR="00063898" w:rsidRPr="008753D6" w:rsidRDefault="00063898" w:rsidP="00152265">
      <w:pPr>
        <w:spacing w:before="120" w:after="0" w:line="240" w:lineRule="auto"/>
        <w:contextualSpacing w:val="0"/>
        <w:rPr>
          <w:lang w:val="vi-VN"/>
        </w:rPr>
      </w:pPr>
      <w:r w:rsidRPr="008753D6">
        <w:rPr>
          <w:lang w:val="vi-VN"/>
        </w:rPr>
        <w:t>Nghị định này có hiệu lực thi hành từ ngày ….tháng ….. năm 2026</w:t>
      </w:r>
      <w:bookmarkStart w:id="12" w:name="dieu_50"/>
    </w:p>
    <w:p w:rsidR="00063898" w:rsidRDefault="00063898" w:rsidP="00063898">
      <w:pPr>
        <w:spacing w:before="120" w:after="0" w:line="240" w:lineRule="auto"/>
        <w:contextualSpacing w:val="0"/>
        <w:rPr>
          <w:b/>
          <w:lang w:val="vi-VN"/>
        </w:rPr>
      </w:pPr>
      <w:r w:rsidRPr="008753D6">
        <w:rPr>
          <w:b/>
          <w:lang w:val="vi-VN"/>
        </w:rPr>
        <w:t xml:space="preserve">Điều </w:t>
      </w:r>
      <w:r w:rsidR="00152265" w:rsidRPr="008753D6">
        <w:rPr>
          <w:b/>
          <w:lang w:val="vi-VN"/>
        </w:rPr>
        <w:t>22</w:t>
      </w:r>
      <w:r w:rsidRPr="008753D6">
        <w:rPr>
          <w:b/>
          <w:lang w:val="vi-VN"/>
        </w:rPr>
        <w:t>. Trách nhiệm thi hành</w:t>
      </w:r>
      <w:bookmarkEnd w:id="12"/>
    </w:p>
    <w:p w:rsidR="001567F6" w:rsidRPr="008753D6" w:rsidRDefault="001567F6" w:rsidP="00063898">
      <w:pPr>
        <w:spacing w:before="120" w:after="0" w:line="240" w:lineRule="auto"/>
        <w:contextualSpacing w:val="0"/>
        <w:rPr>
          <w:b/>
          <w:lang w:val="vi-VN"/>
        </w:rPr>
      </w:pPr>
    </w:p>
    <w:p w:rsidR="008753D6" w:rsidRDefault="008753D6" w:rsidP="00E73FB2">
      <w:pPr>
        <w:spacing w:before="120" w:after="0" w:line="240" w:lineRule="auto"/>
        <w:contextualSpacing w:val="0"/>
        <w:rPr>
          <w:rFonts w:cs="Times New Roman"/>
          <w:color w:val="000000" w:themeColor="text1"/>
          <w:szCs w:val="28"/>
          <w:lang w:val="vi-VN"/>
        </w:rPr>
      </w:pPr>
      <w:r w:rsidRPr="00E73FB2">
        <w:rPr>
          <w:rFonts w:cs="Times New Roman"/>
          <w:color w:val="000000" w:themeColor="text1"/>
          <w:szCs w:val="28"/>
          <w:lang w:val="vi-VN"/>
        </w:rPr>
        <w:t>1. Bộ Công Thương là cơ quan chủ trì tổ chức</w:t>
      </w:r>
      <w:r w:rsidR="001567F6" w:rsidRPr="00E73FB2">
        <w:rPr>
          <w:rFonts w:cs="Times New Roman"/>
          <w:color w:val="000000" w:themeColor="text1"/>
          <w:szCs w:val="28"/>
          <w:lang w:val="vi-VN"/>
        </w:rPr>
        <w:t>, điều phối việc</w:t>
      </w:r>
      <w:r w:rsidRPr="00E73FB2">
        <w:rPr>
          <w:rFonts w:cs="Times New Roman"/>
          <w:color w:val="000000" w:themeColor="text1"/>
          <w:szCs w:val="28"/>
          <w:lang w:val="vi-VN"/>
        </w:rPr>
        <w:t xml:space="preserve"> triển khai các cơ chế bảo đảm và phân bổ nguồn lực phục vụ Hệ sinh thái FTA theo quy định tại Nghị định này.</w:t>
      </w:r>
    </w:p>
    <w:p w:rsidR="008753D6" w:rsidRPr="002202C7" w:rsidRDefault="008753D6" w:rsidP="00E73FB2">
      <w:pPr>
        <w:spacing w:before="120" w:after="0" w:line="240" w:lineRule="auto"/>
        <w:contextualSpacing w:val="0"/>
        <w:rPr>
          <w:rFonts w:cs="Times New Roman"/>
          <w:color w:val="000000" w:themeColor="text1"/>
          <w:szCs w:val="28"/>
          <w:lang w:val="vi-VN"/>
        </w:rPr>
      </w:pPr>
      <w:r w:rsidRPr="00E73FB2">
        <w:rPr>
          <w:rFonts w:cs="Times New Roman"/>
          <w:color w:val="000000" w:themeColor="text1"/>
          <w:szCs w:val="28"/>
          <w:lang w:val="vi-VN"/>
        </w:rPr>
        <w:t>2</w:t>
      </w:r>
      <w:r w:rsidRPr="002202C7">
        <w:rPr>
          <w:rFonts w:cs="Times New Roman"/>
          <w:color w:val="000000" w:themeColor="text1"/>
          <w:szCs w:val="28"/>
          <w:lang w:val="vi-VN"/>
        </w:rPr>
        <w:t>. Bộ Công Thương có trách nhiệm:</w:t>
      </w:r>
    </w:p>
    <w:p w:rsidR="008753D6" w:rsidRDefault="008753D6" w:rsidP="00E73FB2">
      <w:pPr>
        <w:spacing w:before="120" w:after="0" w:line="240" w:lineRule="auto"/>
        <w:contextualSpacing w:val="0"/>
        <w:rPr>
          <w:rFonts w:cs="Times New Roman"/>
          <w:color w:val="000000" w:themeColor="text1"/>
          <w:szCs w:val="28"/>
          <w:lang w:val="vi-VN"/>
        </w:rPr>
      </w:pPr>
      <w:r w:rsidRPr="002202C7">
        <w:rPr>
          <w:rFonts w:cs="Times New Roman"/>
          <w:color w:val="000000" w:themeColor="text1"/>
          <w:szCs w:val="28"/>
          <w:lang w:val="vi-VN"/>
        </w:rPr>
        <w:t>a) Ban hành theo thẩm quyền hoặc trình cấp có thẩm quyền ban hành các tiêu chí, quy trình và hướng dẫn liên quan đến phân loại chủ thể tham gia Hệ sinh thái FTA, quản lý và sử dụng các nguồn lực theo quy định của Nghị định này;</w:t>
      </w:r>
    </w:p>
    <w:p w:rsidR="00D735CD" w:rsidRPr="002202C7" w:rsidRDefault="00D735CD" w:rsidP="00E73FB2">
      <w:pPr>
        <w:spacing w:before="120" w:after="0" w:line="240" w:lineRule="auto"/>
        <w:contextualSpacing w:val="0"/>
        <w:rPr>
          <w:rFonts w:cs="Times New Roman"/>
          <w:color w:val="000000" w:themeColor="text1"/>
          <w:szCs w:val="28"/>
          <w:lang w:val="vi-VN"/>
        </w:rPr>
      </w:pPr>
      <w:r w:rsidRPr="00E73FB2">
        <w:rPr>
          <w:rFonts w:cs="Times New Roman"/>
          <w:color w:val="000000" w:themeColor="text1"/>
          <w:szCs w:val="28"/>
          <w:lang w:val="vi-VN"/>
        </w:rPr>
        <w:t>b) Xây dựng kế hoạch, dự toán kinh phí cho Hệ sinh thái hỗ trợ doanh nghiệp tận dụng các FTA và tổng hợp vào dự toán ngân sách hàng năm của Bộ Công Thương, trình các cơ quan nhà nước có thẩm quyền phê duyệt theo quy định của pháp luật;</w:t>
      </w:r>
    </w:p>
    <w:p w:rsidR="008753D6" w:rsidRDefault="002B4B8A" w:rsidP="00E73FB2">
      <w:pPr>
        <w:spacing w:before="120" w:after="0" w:line="240" w:lineRule="auto"/>
        <w:contextualSpacing w:val="0"/>
        <w:rPr>
          <w:rFonts w:cs="Times New Roman"/>
          <w:color w:val="000000" w:themeColor="text1"/>
          <w:szCs w:val="28"/>
          <w:lang w:val="vi-VN"/>
        </w:rPr>
      </w:pPr>
      <w:r>
        <w:rPr>
          <w:rFonts w:cs="Times New Roman"/>
          <w:color w:val="000000" w:themeColor="text1"/>
          <w:szCs w:val="28"/>
        </w:rPr>
        <w:t>c</w:t>
      </w:r>
      <w:r w:rsidR="008753D6" w:rsidRPr="002202C7">
        <w:rPr>
          <w:rFonts w:cs="Times New Roman"/>
          <w:color w:val="000000" w:themeColor="text1"/>
          <w:szCs w:val="28"/>
          <w:lang w:val="vi-VN"/>
        </w:rPr>
        <w:t>) Điều phối việc huy động, lồng ghép và sử dụng các nguồn lực quy định tại Điều 5, Điều 6, Điều 7 và Điều 8 của Nghị định này, bảo đảm hiệu quả và tránh trùng lặp.</w:t>
      </w:r>
    </w:p>
    <w:p w:rsidR="00E00400" w:rsidRPr="00E00400" w:rsidRDefault="00E00400" w:rsidP="00E73FB2">
      <w:pPr>
        <w:spacing w:before="120" w:after="0" w:line="240" w:lineRule="auto"/>
        <w:contextualSpacing w:val="0"/>
        <w:rPr>
          <w:rFonts w:cs="Times New Roman"/>
          <w:color w:val="000000" w:themeColor="text1"/>
          <w:szCs w:val="28"/>
          <w:lang w:val="vi-VN"/>
        </w:rPr>
      </w:pPr>
      <w:r>
        <w:rPr>
          <w:rFonts w:cs="Times New Roman"/>
          <w:color w:val="000000" w:themeColor="text1"/>
          <w:szCs w:val="28"/>
        </w:rPr>
        <w:t xml:space="preserve">d) </w:t>
      </w:r>
      <w:r w:rsidRPr="00E73FB2">
        <w:rPr>
          <w:rFonts w:cs="Times New Roman"/>
          <w:color w:val="000000" w:themeColor="text1"/>
          <w:szCs w:val="28"/>
          <w:lang w:val="vi-VN"/>
        </w:rPr>
        <w:t>C</w:t>
      </w:r>
      <w:r w:rsidRPr="00E73FB2">
        <w:rPr>
          <w:rFonts w:cs="Times New Roman" w:hint="eastAsia"/>
          <w:color w:val="000000" w:themeColor="text1"/>
          <w:szCs w:val="28"/>
          <w:lang w:val="vi-VN"/>
        </w:rPr>
        <w:t>ă</w:t>
      </w:r>
      <w:r w:rsidRPr="00E73FB2">
        <w:rPr>
          <w:rFonts w:cs="Times New Roman"/>
          <w:color w:val="000000" w:themeColor="text1"/>
          <w:szCs w:val="28"/>
          <w:lang w:val="vi-VN"/>
        </w:rPr>
        <w:t>n cứ c</w:t>
      </w:r>
      <w:r w:rsidRPr="00E73FB2">
        <w:rPr>
          <w:rFonts w:cs="Times New Roman" w:hint="eastAsia"/>
          <w:color w:val="000000" w:themeColor="text1"/>
          <w:szCs w:val="28"/>
          <w:lang w:val="vi-VN"/>
        </w:rPr>
        <w:t>á</w:t>
      </w:r>
      <w:r w:rsidRPr="00E73FB2">
        <w:rPr>
          <w:rFonts w:cs="Times New Roman"/>
          <w:color w:val="000000" w:themeColor="text1"/>
          <w:szCs w:val="28"/>
          <w:lang w:val="vi-VN"/>
        </w:rPr>
        <w:t>c nguy</w:t>
      </w:r>
      <w:r w:rsidRPr="00E73FB2">
        <w:rPr>
          <w:rFonts w:cs="Times New Roman" w:hint="eastAsia"/>
          <w:color w:val="000000" w:themeColor="text1"/>
          <w:szCs w:val="28"/>
          <w:lang w:val="vi-VN"/>
        </w:rPr>
        <w:t>ê</w:t>
      </w:r>
      <w:r w:rsidRPr="00E73FB2">
        <w:rPr>
          <w:rFonts w:cs="Times New Roman"/>
          <w:color w:val="000000" w:themeColor="text1"/>
          <w:szCs w:val="28"/>
          <w:lang w:val="vi-VN"/>
        </w:rPr>
        <w:t xml:space="preserve">n tắc hỗ trợ quy </w:t>
      </w:r>
      <w:r w:rsidRPr="00E73FB2">
        <w:rPr>
          <w:rFonts w:cs="Times New Roman" w:hint="eastAsia"/>
          <w:color w:val="000000" w:themeColor="text1"/>
          <w:szCs w:val="28"/>
          <w:lang w:val="vi-VN"/>
        </w:rPr>
        <w:t>đ</w:t>
      </w:r>
      <w:r w:rsidRPr="00E73FB2">
        <w:rPr>
          <w:rFonts w:cs="Times New Roman"/>
          <w:color w:val="000000" w:themeColor="text1"/>
          <w:szCs w:val="28"/>
          <w:lang w:val="vi-VN"/>
        </w:rPr>
        <w:t xml:space="preserve">ịnh tại </w:t>
      </w:r>
      <w:r w:rsidRPr="00E73FB2">
        <w:rPr>
          <w:rFonts w:cs="Times New Roman" w:hint="eastAsia"/>
          <w:color w:val="000000" w:themeColor="text1"/>
          <w:szCs w:val="28"/>
          <w:lang w:val="vi-VN"/>
        </w:rPr>
        <w:t>Đ</w:t>
      </w:r>
      <w:r w:rsidRPr="00E73FB2">
        <w:rPr>
          <w:rFonts w:cs="Times New Roman"/>
          <w:color w:val="000000" w:themeColor="text1"/>
          <w:szCs w:val="28"/>
          <w:lang w:val="vi-VN"/>
        </w:rPr>
        <w:t xml:space="preserve">iều 13 của Nghị </w:t>
      </w:r>
      <w:r w:rsidRPr="00E73FB2">
        <w:rPr>
          <w:rFonts w:cs="Times New Roman" w:hint="eastAsia"/>
          <w:color w:val="000000" w:themeColor="text1"/>
          <w:szCs w:val="28"/>
          <w:lang w:val="vi-VN"/>
        </w:rPr>
        <w:t>đ</w:t>
      </w:r>
      <w:r w:rsidRPr="00E73FB2">
        <w:rPr>
          <w:rFonts w:cs="Times New Roman"/>
          <w:color w:val="000000" w:themeColor="text1"/>
          <w:szCs w:val="28"/>
          <w:lang w:val="vi-VN"/>
        </w:rPr>
        <w:t>ịnh n</w:t>
      </w:r>
      <w:r w:rsidRPr="00E73FB2">
        <w:rPr>
          <w:rFonts w:cs="Times New Roman" w:hint="eastAsia"/>
          <w:color w:val="000000" w:themeColor="text1"/>
          <w:szCs w:val="28"/>
          <w:lang w:val="vi-VN"/>
        </w:rPr>
        <w:t>à</w:t>
      </w:r>
      <w:r w:rsidRPr="00E73FB2">
        <w:rPr>
          <w:rFonts w:cs="Times New Roman"/>
          <w:color w:val="000000" w:themeColor="text1"/>
          <w:szCs w:val="28"/>
          <w:lang w:val="vi-VN"/>
        </w:rPr>
        <w:t>y, xem x</w:t>
      </w:r>
      <w:r w:rsidRPr="00E73FB2">
        <w:rPr>
          <w:rFonts w:cs="Times New Roman" w:hint="eastAsia"/>
          <w:color w:val="000000" w:themeColor="text1"/>
          <w:szCs w:val="28"/>
          <w:lang w:val="vi-VN"/>
        </w:rPr>
        <w:t>é</w:t>
      </w:r>
      <w:r w:rsidRPr="00E73FB2">
        <w:rPr>
          <w:rFonts w:cs="Times New Roman"/>
          <w:color w:val="000000" w:themeColor="text1"/>
          <w:szCs w:val="28"/>
          <w:lang w:val="vi-VN"/>
        </w:rPr>
        <w:t xml:space="preserve">t, quyết </w:t>
      </w:r>
      <w:r w:rsidRPr="00E73FB2">
        <w:rPr>
          <w:rFonts w:cs="Times New Roman" w:hint="eastAsia"/>
          <w:color w:val="000000" w:themeColor="text1"/>
          <w:szCs w:val="28"/>
          <w:lang w:val="vi-VN"/>
        </w:rPr>
        <w:t>đ</w:t>
      </w:r>
      <w:r w:rsidRPr="00E73FB2">
        <w:rPr>
          <w:rFonts w:cs="Times New Roman"/>
          <w:color w:val="000000" w:themeColor="text1"/>
          <w:szCs w:val="28"/>
          <w:lang w:val="vi-VN"/>
        </w:rPr>
        <w:t>ịnh việc chấp thuận hiệp hội ng</w:t>
      </w:r>
      <w:r w:rsidRPr="00E73FB2">
        <w:rPr>
          <w:rFonts w:cs="Times New Roman" w:hint="eastAsia"/>
          <w:color w:val="000000" w:themeColor="text1"/>
          <w:szCs w:val="28"/>
          <w:lang w:val="vi-VN"/>
        </w:rPr>
        <w:t>à</w:t>
      </w:r>
      <w:r w:rsidRPr="00E73FB2">
        <w:rPr>
          <w:rFonts w:cs="Times New Roman"/>
          <w:color w:val="000000" w:themeColor="text1"/>
          <w:szCs w:val="28"/>
          <w:lang w:val="vi-VN"/>
        </w:rPr>
        <w:t>nh h</w:t>
      </w:r>
      <w:r w:rsidRPr="00E73FB2">
        <w:rPr>
          <w:rFonts w:cs="Times New Roman" w:hint="eastAsia"/>
          <w:color w:val="000000" w:themeColor="text1"/>
          <w:szCs w:val="28"/>
          <w:lang w:val="vi-VN"/>
        </w:rPr>
        <w:t>à</w:t>
      </w:r>
      <w:r w:rsidRPr="00E73FB2">
        <w:rPr>
          <w:rFonts w:cs="Times New Roman"/>
          <w:color w:val="000000" w:themeColor="text1"/>
          <w:szCs w:val="28"/>
          <w:lang w:val="vi-VN"/>
        </w:rPr>
        <w:t xml:space="preserve">ng </w:t>
      </w:r>
      <w:r w:rsidRPr="00E73FB2">
        <w:rPr>
          <w:rFonts w:cs="Times New Roman" w:hint="eastAsia"/>
          <w:color w:val="000000" w:themeColor="text1"/>
          <w:szCs w:val="28"/>
          <w:lang w:val="vi-VN"/>
        </w:rPr>
        <w:t>đ</w:t>
      </w:r>
      <w:r w:rsidRPr="00E73FB2">
        <w:rPr>
          <w:rFonts w:cs="Times New Roman"/>
          <w:color w:val="000000" w:themeColor="text1"/>
          <w:szCs w:val="28"/>
          <w:lang w:val="vi-VN"/>
        </w:rPr>
        <w:t xml:space="preserve">ủ </w:t>
      </w:r>
      <w:r w:rsidRPr="00E73FB2">
        <w:rPr>
          <w:rFonts w:cs="Times New Roman" w:hint="eastAsia"/>
          <w:color w:val="000000" w:themeColor="text1"/>
          <w:szCs w:val="28"/>
          <w:lang w:val="vi-VN"/>
        </w:rPr>
        <w:t>đ</w:t>
      </w:r>
      <w:r w:rsidRPr="00E73FB2">
        <w:rPr>
          <w:rFonts w:cs="Times New Roman"/>
          <w:color w:val="000000" w:themeColor="text1"/>
          <w:szCs w:val="28"/>
          <w:lang w:val="vi-VN"/>
        </w:rPr>
        <w:t xml:space="preserve">iều kiện </w:t>
      </w:r>
      <w:r w:rsidRPr="00E73FB2">
        <w:rPr>
          <w:rFonts w:cs="Times New Roman" w:hint="eastAsia"/>
          <w:color w:val="000000" w:themeColor="text1"/>
          <w:szCs w:val="28"/>
          <w:lang w:val="vi-VN"/>
        </w:rPr>
        <w:t>đư</w:t>
      </w:r>
      <w:r w:rsidRPr="00E73FB2">
        <w:rPr>
          <w:rFonts w:cs="Times New Roman"/>
          <w:color w:val="000000" w:themeColor="text1"/>
          <w:szCs w:val="28"/>
          <w:lang w:val="vi-VN"/>
        </w:rPr>
        <w:t>ợc hỗ trợ từ Quỹ</w:t>
      </w:r>
    </w:p>
    <w:p w:rsidR="008753D6" w:rsidRDefault="008753D6">
      <w:pPr>
        <w:spacing w:before="120" w:after="0" w:line="240" w:lineRule="auto"/>
        <w:contextualSpacing w:val="0"/>
        <w:rPr>
          <w:rFonts w:cs="Times New Roman"/>
          <w:color w:val="000000" w:themeColor="text1"/>
          <w:szCs w:val="28"/>
          <w:lang w:val="vi-VN"/>
        </w:rPr>
      </w:pPr>
      <w:r w:rsidRPr="002202C7">
        <w:rPr>
          <w:rFonts w:cs="Times New Roman"/>
          <w:color w:val="000000" w:themeColor="text1"/>
          <w:szCs w:val="28"/>
          <w:lang w:val="vi-VN"/>
        </w:rPr>
        <w:t>4. Bộ Công Thương chủ trì tổ chức đánh giá định kỳ hằng năm, tổng hợp và báo cáo Chính phủ về tình hình thực hiện Nghị định này.</w:t>
      </w:r>
    </w:p>
    <w:p w:rsidR="00E00400" w:rsidRPr="00E73FB2" w:rsidRDefault="008753D6" w:rsidP="00E73FB2">
      <w:pPr>
        <w:spacing w:before="120" w:after="0" w:line="240" w:lineRule="auto"/>
        <w:contextualSpacing w:val="0"/>
        <w:rPr>
          <w:rFonts w:cs="Times New Roman"/>
          <w:color w:val="000000" w:themeColor="text1"/>
          <w:szCs w:val="28"/>
        </w:rPr>
      </w:pPr>
      <w:r w:rsidRPr="00E73FB2">
        <w:rPr>
          <w:rFonts w:cs="Times New Roman"/>
          <w:color w:val="000000" w:themeColor="text1"/>
          <w:szCs w:val="28"/>
          <w:lang w:val="vi-VN"/>
        </w:rPr>
        <w:t xml:space="preserve">5. </w:t>
      </w:r>
      <w:bookmarkStart w:id="13" w:name="khoan_2_34"/>
      <w:r w:rsidR="00D735CD" w:rsidRPr="00D735CD">
        <w:rPr>
          <w:rFonts w:cs="Times New Roman"/>
          <w:color w:val="000000" w:themeColor="text1"/>
          <w:szCs w:val="28"/>
          <w:lang w:val="vi-VN"/>
        </w:rPr>
        <w:t>Bộ Tài chính</w:t>
      </w:r>
      <w:r w:rsidR="00E00400">
        <w:rPr>
          <w:rFonts w:cs="Times New Roman"/>
          <w:color w:val="000000" w:themeColor="text1"/>
          <w:szCs w:val="28"/>
        </w:rPr>
        <w:t xml:space="preserve"> có trách nhiệm</w:t>
      </w:r>
    </w:p>
    <w:p w:rsidR="00E00400" w:rsidRDefault="00E00400" w:rsidP="00E73FB2">
      <w:pPr>
        <w:spacing w:before="120" w:after="0" w:line="240" w:lineRule="auto"/>
        <w:contextualSpacing w:val="0"/>
        <w:rPr>
          <w:rFonts w:hint="eastAsia"/>
          <w:color w:val="000000" w:themeColor="text1"/>
          <w:szCs w:val="28"/>
          <w:lang w:val="vi-VN"/>
        </w:rPr>
      </w:pPr>
      <w:r>
        <w:rPr>
          <w:rFonts w:cs="Times New Roman"/>
          <w:color w:val="000000" w:themeColor="text1"/>
          <w:szCs w:val="28"/>
        </w:rPr>
        <w:t>a)</w:t>
      </w:r>
      <w:r w:rsidR="00D735CD" w:rsidRPr="00D735CD">
        <w:rPr>
          <w:rFonts w:cs="Times New Roman"/>
          <w:color w:val="000000" w:themeColor="text1"/>
          <w:szCs w:val="28"/>
          <w:lang w:val="vi-VN"/>
        </w:rPr>
        <w:t xml:space="preserve"> </w:t>
      </w:r>
      <w:r>
        <w:rPr>
          <w:rFonts w:cs="Times New Roman"/>
          <w:color w:val="000000" w:themeColor="text1"/>
          <w:szCs w:val="28"/>
        </w:rPr>
        <w:t>C</w:t>
      </w:r>
      <w:r w:rsidR="00D735CD" w:rsidRPr="00D735CD">
        <w:rPr>
          <w:rFonts w:cs="Times New Roman"/>
          <w:color w:val="000000" w:themeColor="text1"/>
          <w:szCs w:val="28"/>
          <w:lang w:val="vi-VN"/>
        </w:rPr>
        <w:t xml:space="preserve">hủ trì, phối hợp với các bộ, cơ quan ngang bộ </w:t>
      </w:r>
      <w:r w:rsidR="00D735CD" w:rsidRPr="002202C7">
        <w:rPr>
          <w:rFonts w:cs="Times New Roman"/>
          <w:color w:val="000000" w:themeColor="text1"/>
          <w:szCs w:val="28"/>
          <w:lang w:val="vi-VN"/>
        </w:rPr>
        <w:t>bố trí kinh phí chi thường xuyên từ nguồn ngân sách Nhà nước</w:t>
      </w:r>
      <w:r w:rsidR="00D735CD" w:rsidRPr="00E73FB2">
        <w:rPr>
          <w:rFonts w:cs="Times New Roman"/>
          <w:color w:val="000000" w:themeColor="text1"/>
          <w:szCs w:val="28"/>
          <w:lang w:val="vi-VN"/>
        </w:rPr>
        <w:t xml:space="preserve">, </w:t>
      </w:r>
      <w:r w:rsidR="00D735CD" w:rsidRPr="00E73FB2">
        <w:rPr>
          <w:rFonts w:cs="Times New Roman" w:hint="eastAsia"/>
          <w:color w:val="000000" w:themeColor="text1"/>
          <w:szCs w:val="28"/>
          <w:lang w:val="vi-VN"/>
        </w:rPr>
        <w:t>đ</w:t>
      </w:r>
      <w:r w:rsidR="00D735CD" w:rsidRPr="00E73FB2">
        <w:rPr>
          <w:rFonts w:cs="Times New Roman"/>
          <w:color w:val="000000" w:themeColor="text1"/>
          <w:szCs w:val="28"/>
          <w:lang w:val="vi-VN"/>
        </w:rPr>
        <w:t xml:space="preserve">ồng thời </w:t>
      </w:r>
      <w:r w:rsidR="00D735CD" w:rsidRPr="00D735CD">
        <w:rPr>
          <w:rFonts w:cs="Times New Roman"/>
          <w:color w:val="000000" w:themeColor="text1"/>
          <w:szCs w:val="28"/>
          <w:lang w:val="vi-VN"/>
        </w:rPr>
        <w:t xml:space="preserve">hướng dẫn việc lập dự toán, phân bổ, sử dụng và thanh quyết toán các </w:t>
      </w:r>
      <w:r w:rsidR="001567F6" w:rsidRPr="00E73FB2">
        <w:rPr>
          <w:rFonts w:cs="Times New Roman" w:hint="eastAsia"/>
          <w:color w:val="000000" w:themeColor="text1"/>
          <w:szCs w:val="28"/>
          <w:lang w:val="vi-VN"/>
        </w:rPr>
        <w:t>chi</w:t>
      </w:r>
      <w:r w:rsidR="00D735CD" w:rsidRPr="00D735CD">
        <w:rPr>
          <w:rFonts w:cs="Times New Roman"/>
          <w:color w:val="000000" w:themeColor="text1"/>
          <w:szCs w:val="28"/>
          <w:lang w:val="vi-VN"/>
        </w:rPr>
        <w:t xml:space="preserve"> phí hỗ trợ </w:t>
      </w:r>
      <w:r w:rsidR="00D735CD" w:rsidRPr="00E73FB2">
        <w:rPr>
          <w:rFonts w:cs="Times New Roman"/>
          <w:color w:val="000000" w:themeColor="text1"/>
          <w:szCs w:val="28"/>
          <w:lang w:val="vi-VN"/>
        </w:rPr>
        <w:t>Hệ</w:t>
      </w:r>
      <w:r w:rsidR="00D735CD" w:rsidRPr="00E73FB2">
        <w:rPr>
          <w:rFonts w:cs="Times New Roman" w:hint="eastAsia"/>
          <w:color w:val="000000" w:themeColor="text1"/>
          <w:szCs w:val="28"/>
          <w:lang w:val="vi-VN"/>
        </w:rPr>
        <w:t xml:space="preserve"> sinh thái </w:t>
      </w:r>
      <w:r w:rsidR="00D735CD" w:rsidRPr="00E73FB2">
        <w:rPr>
          <w:rFonts w:cs="Times New Roman"/>
          <w:color w:val="000000" w:themeColor="text1"/>
          <w:szCs w:val="28"/>
          <w:lang w:val="vi-VN"/>
        </w:rPr>
        <w:t>hỗ</w:t>
      </w:r>
      <w:r w:rsidR="00D735CD" w:rsidRPr="00E73FB2">
        <w:rPr>
          <w:rFonts w:cs="Times New Roman" w:hint="eastAsia"/>
          <w:color w:val="000000" w:themeColor="text1"/>
          <w:szCs w:val="28"/>
          <w:lang w:val="vi-VN"/>
        </w:rPr>
        <w:t xml:space="preserve"> </w:t>
      </w:r>
      <w:r w:rsidR="00D735CD" w:rsidRPr="00E73FB2">
        <w:rPr>
          <w:rFonts w:cs="Times New Roman"/>
          <w:color w:val="000000" w:themeColor="text1"/>
          <w:szCs w:val="28"/>
          <w:lang w:val="vi-VN"/>
        </w:rPr>
        <w:t>trợ</w:t>
      </w:r>
      <w:r w:rsidR="00D735CD" w:rsidRPr="00E73FB2">
        <w:rPr>
          <w:rFonts w:cs="Times New Roman" w:hint="eastAsia"/>
          <w:color w:val="000000" w:themeColor="text1"/>
          <w:szCs w:val="28"/>
          <w:lang w:val="vi-VN"/>
        </w:rPr>
        <w:t xml:space="preserve"> doanh </w:t>
      </w:r>
      <w:r w:rsidR="00D735CD" w:rsidRPr="00E73FB2">
        <w:rPr>
          <w:rFonts w:cs="Times New Roman"/>
          <w:color w:val="000000" w:themeColor="text1"/>
          <w:szCs w:val="28"/>
          <w:lang w:val="vi-VN"/>
        </w:rPr>
        <w:t>nghiệp</w:t>
      </w:r>
      <w:r w:rsidR="00D735CD" w:rsidRPr="00E73FB2">
        <w:rPr>
          <w:rFonts w:cs="Times New Roman" w:hint="eastAsia"/>
          <w:color w:val="000000" w:themeColor="text1"/>
          <w:szCs w:val="28"/>
          <w:lang w:val="vi-VN"/>
        </w:rPr>
        <w:t xml:space="preserve"> </w:t>
      </w:r>
      <w:r w:rsidR="00D735CD" w:rsidRPr="00E73FB2">
        <w:rPr>
          <w:rFonts w:cs="Times New Roman"/>
          <w:color w:val="000000" w:themeColor="text1"/>
          <w:szCs w:val="28"/>
          <w:lang w:val="vi-VN"/>
        </w:rPr>
        <w:t>tận</w:t>
      </w:r>
      <w:r w:rsidR="00D735CD" w:rsidRPr="00E73FB2">
        <w:rPr>
          <w:rFonts w:cs="Times New Roman" w:hint="eastAsia"/>
          <w:color w:val="000000" w:themeColor="text1"/>
          <w:szCs w:val="28"/>
          <w:lang w:val="vi-VN"/>
        </w:rPr>
        <w:t xml:space="preserve"> </w:t>
      </w:r>
      <w:r w:rsidR="00D735CD" w:rsidRPr="00E73FB2">
        <w:rPr>
          <w:rFonts w:cs="Times New Roman"/>
          <w:color w:val="000000" w:themeColor="text1"/>
          <w:szCs w:val="28"/>
          <w:lang w:val="vi-VN"/>
        </w:rPr>
        <w:t>dụng</w:t>
      </w:r>
      <w:r w:rsidR="00D735CD" w:rsidRPr="00E73FB2">
        <w:rPr>
          <w:rFonts w:cs="Times New Roman" w:hint="eastAsia"/>
          <w:color w:val="000000" w:themeColor="text1"/>
          <w:szCs w:val="28"/>
          <w:lang w:val="vi-VN"/>
        </w:rPr>
        <w:t xml:space="preserve"> các FTA</w:t>
      </w:r>
      <w:r w:rsidR="00D735CD" w:rsidRPr="00D735CD">
        <w:rPr>
          <w:rFonts w:cs="Times New Roman"/>
          <w:color w:val="000000" w:themeColor="text1"/>
          <w:szCs w:val="28"/>
          <w:lang w:val="vi-VN"/>
        </w:rPr>
        <w:t xml:space="preserve"> theo quy định của pháp luật</w:t>
      </w:r>
      <w:r w:rsidR="001567F6">
        <w:rPr>
          <w:rFonts w:cs="Times New Roman"/>
          <w:color w:val="000000" w:themeColor="text1"/>
          <w:szCs w:val="28"/>
        </w:rPr>
        <w:t xml:space="preserve">, </w:t>
      </w:r>
      <w:r w:rsidR="00D735CD" w:rsidRPr="002202C7">
        <w:rPr>
          <w:rFonts w:cs="Times New Roman"/>
          <w:color w:val="000000" w:themeColor="text1"/>
          <w:szCs w:val="28"/>
          <w:lang w:val="vi-VN"/>
        </w:rPr>
        <w:t>đảm bảo các nguồn lực vận hành Hệ sinh thái hỗ trợ doanh nghiệp tận dụng các FTA trong phạm vi dự toán ngân sách nhà nước hàng năm của Bộ Công Thương</w:t>
      </w:r>
      <w:r w:rsidR="00D735CD" w:rsidRPr="00D735CD">
        <w:rPr>
          <w:rFonts w:cs="Times New Roman"/>
          <w:color w:val="000000" w:themeColor="text1"/>
          <w:szCs w:val="28"/>
          <w:lang w:val="vi-VN"/>
        </w:rPr>
        <w:t>.</w:t>
      </w:r>
      <w:bookmarkEnd w:id="13"/>
    </w:p>
    <w:p w:rsidR="00E00400" w:rsidRDefault="00E00400" w:rsidP="00E73FB2">
      <w:pPr>
        <w:spacing w:before="120" w:after="0" w:line="240" w:lineRule="auto"/>
        <w:contextualSpacing w:val="0"/>
        <w:rPr>
          <w:rFonts w:hint="eastAsia"/>
          <w:color w:val="000000" w:themeColor="text1"/>
          <w:szCs w:val="28"/>
          <w:lang w:val="vi-VN"/>
        </w:rPr>
      </w:pPr>
      <w:r w:rsidRPr="00E73FB2">
        <w:rPr>
          <w:rFonts w:hint="eastAsia"/>
          <w:color w:val="000000" w:themeColor="text1"/>
          <w:szCs w:val="28"/>
          <w:lang w:val="vi-VN"/>
        </w:rPr>
        <w:t>b</w:t>
      </w:r>
      <w:r w:rsidRPr="00E73FB2">
        <w:rPr>
          <w:color w:val="000000" w:themeColor="text1"/>
          <w:szCs w:val="28"/>
          <w:lang w:val="vi-VN"/>
        </w:rPr>
        <w:t xml:space="preserve">) Căn cứ tổng số thu thuế phòng vệ thương mại thực thu trong năm ngân sách, xác định và cân đối mức trích lập Quỹ </w:t>
      </w:r>
      <w:r>
        <w:rPr>
          <w:rFonts w:cs="Times New Roman"/>
          <w:color w:val="000000" w:themeColor="text1"/>
          <w:szCs w:val="28"/>
        </w:rPr>
        <w:t xml:space="preserve">Hỗ trợ Phòng vệ thương mại </w:t>
      </w:r>
      <w:r w:rsidRPr="00E73FB2">
        <w:rPr>
          <w:color w:val="000000" w:themeColor="text1"/>
          <w:szCs w:val="28"/>
          <w:lang w:val="vi-VN"/>
        </w:rPr>
        <w:t>vào cuối năm tài chính, bảo đảm không vượt quá 10% tổng số thực thu trong năm.</w:t>
      </w:r>
    </w:p>
    <w:p w:rsidR="00E00400" w:rsidRPr="00E73FB2" w:rsidRDefault="00E00400" w:rsidP="00E73FB2">
      <w:pPr>
        <w:spacing w:before="120" w:after="0" w:line="240" w:lineRule="auto"/>
        <w:contextualSpacing w:val="0"/>
        <w:rPr>
          <w:color w:val="000000" w:themeColor="text1"/>
          <w:szCs w:val="28"/>
          <w:lang w:val="vi-VN"/>
        </w:rPr>
      </w:pPr>
      <w:r>
        <w:rPr>
          <w:color w:val="000000" w:themeColor="text1"/>
          <w:szCs w:val="28"/>
        </w:rPr>
        <w:t>c</w:t>
      </w:r>
      <w:r w:rsidRPr="00E73FB2">
        <w:rPr>
          <w:color w:val="000000" w:themeColor="text1"/>
          <w:szCs w:val="28"/>
          <w:lang w:val="vi-VN"/>
        </w:rPr>
        <w:t>) Chủ trì ban hành hoặc trình cấp có thẩm quyền ban hành quy định về định mức chi và cơ chế quản lý, thanh toán, quyết toán kinh phí hỗ trợ từ Quỹ</w:t>
      </w:r>
      <w:r w:rsidRPr="00E00400">
        <w:rPr>
          <w:rFonts w:cs="Times New Roman"/>
          <w:color w:val="000000" w:themeColor="text1"/>
          <w:szCs w:val="28"/>
          <w:lang w:val="vi-VN"/>
        </w:rPr>
        <w:t xml:space="preserve"> </w:t>
      </w:r>
      <w:r w:rsidRPr="00BB16E3">
        <w:rPr>
          <w:rFonts w:cs="Times New Roman"/>
          <w:color w:val="000000" w:themeColor="text1"/>
          <w:szCs w:val="28"/>
          <w:lang w:val="vi-VN"/>
        </w:rPr>
        <w:t xml:space="preserve">Quỹ </w:t>
      </w:r>
      <w:r>
        <w:rPr>
          <w:rFonts w:cs="Times New Roman"/>
          <w:color w:val="000000" w:themeColor="text1"/>
          <w:szCs w:val="28"/>
        </w:rPr>
        <w:t>Hỗ trợ Phòng vệ thương mại</w:t>
      </w:r>
      <w:r w:rsidRPr="00E73FB2">
        <w:rPr>
          <w:color w:val="000000" w:themeColor="text1"/>
          <w:szCs w:val="28"/>
        </w:rPr>
        <w:t xml:space="preserve">. </w:t>
      </w:r>
    </w:p>
    <w:p w:rsidR="00E00400" w:rsidRPr="00D735CD" w:rsidRDefault="00E00400" w:rsidP="00E73FB2">
      <w:pPr>
        <w:spacing w:before="120" w:after="0" w:line="240" w:lineRule="auto"/>
        <w:contextualSpacing w:val="0"/>
        <w:rPr>
          <w:rFonts w:cs="Times New Roman"/>
          <w:color w:val="000000" w:themeColor="text1"/>
          <w:szCs w:val="28"/>
          <w:lang w:val="vi-VN"/>
        </w:rPr>
      </w:pPr>
      <w:r>
        <w:rPr>
          <w:rFonts w:cs="Times New Roman"/>
          <w:color w:val="000000" w:themeColor="text1"/>
          <w:szCs w:val="28"/>
        </w:rPr>
        <w:t>d</w:t>
      </w:r>
      <w:r w:rsidRPr="00E73FB2">
        <w:rPr>
          <w:rFonts w:cs="Times New Roman"/>
          <w:color w:val="000000" w:themeColor="text1"/>
          <w:szCs w:val="28"/>
          <w:lang w:val="vi-VN"/>
        </w:rPr>
        <w:t>)</w:t>
      </w:r>
      <w:r w:rsidRPr="00E73FB2">
        <w:rPr>
          <w:rFonts w:cs="Times New Roman"/>
          <w:color w:val="000000" w:themeColor="text1"/>
          <w:szCs w:val="28"/>
        </w:rPr>
        <w:t xml:space="preserve"> </w:t>
      </w:r>
      <w:r w:rsidRPr="00E73FB2">
        <w:rPr>
          <w:rFonts w:cs="Times New Roman"/>
          <w:color w:val="000000" w:themeColor="text1"/>
          <w:szCs w:val="28"/>
          <w:lang w:val="vi-VN"/>
        </w:rPr>
        <w:t>Kiểm tra, gi</w:t>
      </w:r>
      <w:r w:rsidRPr="00E73FB2">
        <w:rPr>
          <w:rFonts w:cs="Times New Roman" w:hint="eastAsia"/>
          <w:color w:val="000000" w:themeColor="text1"/>
          <w:szCs w:val="28"/>
          <w:lang w:val="vi-VN"/>
        </w:rPr>
        <w:t>á</w:t>
      </w:r>
      <w:r w:rsidRPr="00E73FB2">
        <w:rPr>
          <w:rFonts w:cs="Times New Roman"/>
          <w:color w:val="000000" w:themeColor="text1"/>
          <w:szCs w:val="28"/>
          <w:lang w:val="vi-VN"/>
        </w:rPr>
        <w:t>m s</w:t>
      </w:r>
      <w:r w:rsidRPr="00E73FB2">
        <w:rPr>
          <w:rFonts w:cs="Times New Roman" w:hint="eastAsia"/>
          <w:color w:val="000000" w:themeColor="text1"/>
          <w:szCs w:val="28"/>
          <w:lang w:val="vi-VN"/>
        </w:rPr>
        <w:t>á</w:t>
      </w:r>
      <w:r w:rsidRPr="00E73FB2">
        <w:rPr>
          <w:rFonts w:cs="Times New Roman"/>
          <w:color w:val="000000" w:themeColor="text1"/>
          <w:szCs w:val="28"/>
          <w:lang w:val="vi-VN"/>
        </w:rPr>
        <w:t>t việc tr</w:t>
      </w:r>
      <w:r w:rsidRPr="00E73FB2">
        <w:rPr>
          <w:rFonts w:cs="Times New Roman" w:hint="eastAsia"/>
          <w:color w:val="000000" w:themeColor="text1"/>
          <w:szCs w:val="28"/>
          <w:lang w:val="vi-VN"/>
        </w:rPr>
        <w:t>í</w:t>
      </w:r>
      <w:r w:rsidRPr="00E73FB2">
        <w:rPr>
          <w:rFonts w:cs="Times New Roman"/>
          <w:color w:val="000000" w:themeColor="text1"/>
          <w:szCs w:val="28"/>
          <w:lang w:val="vi-VN"/>
        </w:rPr>
        <w:t>ch lập, quản l</w:t>
      </w:r>
      <w:r w:rsidRPr="00E73FB2">
        <w:rPr>
          <w:rFonts w:cs="Times New Roman" w:hint="eastAsia"/>
          <w:color w:val="000000" w:themeColor="text1"/>
          <w:szCs w:val="28"/>
          <w:lang w:val="vi-VN"/>
        </w:rPr>
        <w:t>ý</w:t>
      </w:r>
      <w:r w:rsidRPr="00E73FB2">
        <w:rPr>
          <w:rFonts w:cs="Times New Roman"/>
          <w:color w:val="000000" w:themeColor="text1"/>
          <w:szCs w:val="28"/>
          <w:lang w:val="vi-VN"/>
        </w:rPr>
        <w:t xml:space="preserve"> v</w:t>
      </w:r>
      <w:r w:rsidRPr="00E73FB2">
        <w:rPr>
          <w:rFonts w:cs="Times New Roman" w:hint="eastAsia"/>
          <w:color w:val="000000" w:themeColor="text1"/>
          <w:szCs w:val="28"/>
          <w:lang w:val="vi-VN"/>
        </w:rPr>
        <w:t>à</w:t>
      </w:r>
      <w:r w:rsidRPr="00E73FB2">
        <w:rPr>
          <w:rFonts w:cs="Times New Roman"/>
          <w:color w:val="000000" w:themeColor="text1"/>
          <w:szCs w:val="28"/>
          <w:lang w:val="vi-VN"/>
        </w:rPr>
        <w:t xml:space="preserve"> sử dụng kinh ph</w:t>
      </w:r>
      <w:r w:rsidRPr="00E73FB2">
        <w:rPr>
          <w:rFonts w:cs="Times New Roman" w:hint="eastAsia"/>
          <w:color w:val="000000" w:themeColor="text1"/>
          <w:szCs w:val="28"/>
          <w:lang w:val="vi-VN"/>
        </w:rPr>
        <w:t>í</w:t>
      </w:r>
      <w:r w:rsidRPr="00E73FB2">
        <w:rPr>
          <w:rFonts w:cs="Times New Roman"/>
          <w:color w:val="000000" w:themeColor="text1"/>
          <w:szCs w:val="28"/>
          <w:lang w:val="vi-VN"/>
        </w:rPr>
        <w:t xml:space="preserve"> của Qu</w:t>
      </w:r>
      <w:r>
        <w:rPr>
          <w:rFonts w:cs="Times New Roman"/>
          <w:color w:val="000000" w:themeColor="text1"/>
          <w:szCs w:val="28"/>
        </w:rPr>
        <w:t>ỹ</w:t>
      </w:r>
      <w:r w:rsidRPr="00E00400">
        <w:rPr>
          <w:rFonts w:cs="Times New Roman"/>
          <w:color w:val="000000" w:themeColor="text1"/>
          <w:szCs w:val="28"/>
          <w:lang w:val="vi-VN"/>
        </w:rPr>
        <w:t xml:space="preserve"> </w:t>
      </w:r>
      <w:r w:rsidRPr="00BB16E3">
        <w:rPr>
          <w:rFonts w:cs="Times New Roman"/>
          <w:color w:val="000000" w:themeColor="text1"/>
          <w:szCs w:val="28"/>
          <w:lang w:val="vi-VN"/>
        </w:rPr>
        <w:t xml:space="preserve">Quỹ </w:t>
      </w:r>
      <w:r>
        <w:rPr>
          <w:rFonts w:cs="Times New Roman"/>
          <w:color w:val="000000" w:themeColor="text1"/>
          <w:szCs w:val="28"/>
        </w:rPr>
        <w:t>Hỗ trợ Phòng vệ thương mại</w:t>
      </w:r>
      <w:r w:rsidRPr="00E73FB2">
        <w:rPr>
          <w:rFonts w:cs="Times New Roman"/>
          <w:color w:val="000000" w:themeColor="text1"/>
          <w:szCs w:val="28"/>
          <w:lang w:val="vi-VN"/>
        </w:rPr>
        <w:t xml:space="preserve">, bảo </w:t>
      </w:r>
      <w:r w:rsidRPr="00E73FB2">
        <w:rPr>
          <w:rFonts w:cs="Times New Roman" w:hint="eastAsia"/>
          <w:color w:val="000000" w:themeColor="text1"/>
          <w:szCs w:val="28"/>
          <w:lang w:val="vi-VN"/>
        </w:rPr>
        <w:t>đ</w:t>
      </w:r>
      <w:r w:rsidRPr="00E73FB2">
        <w:rPr>
          <w:rFonts w:cs="Times New Roman"/>
          <w:color w:val="000000" w:themeColor="text1"/>
          <w:szCs w:val="28"/>
          <w:lang w:val="vi-VN"/>
        </w:rPr>
        <w:t xml:space="preserve">ảm </w:t>
      </w:r>
      <w:r w:rsidRPr="00E73FB2">
        <w:rPr>
          <w:rFonts w:cs="Times New Roman" w:hint="eastAsia"/>
          <w:color w:val="000000" w:themeColor="text1"/>
          <w:szCs w:val="28"/>
          <w:lang w:val="vi-VN"/>
        </w:rPr>
        <w:t>đú</w:t>
      </w:r>
      <w:r w:rsidRPr="00E73FB2">
        <w:rPr>
          <w:rFonts w:cs="Times New Roman"/>
          <w:color w:val="000000" w:themeColor="text1"/>
          <w:szCs w:val="28"/>
          <w:lang w:val="vi-VN"/>
        </w:rPr>
        <w:t xml:space="preserve">ng mục </w:t>
      </w:r>
      <w:r w:rsidRPr="00E73FB2">
        <w:rPr>
          <w:rFonts w:cs="Times New Roman" w:hint="eastAsia"/>
          <w:color w:val="000000" w:themeColor="text1"/>
          <w:szCs w:val="28"/>
          <w:lang w:val="vi-VN"/>
        </w:rPr>
        <w:t>đí</w:t>
      </w:r>
      <w:r w:rsidRPr="00E73FB2">
        <w:rPr>
          <w:rFonts w:cs="Times New Roman"/>
          <w:color w:val="000000" w:themeColor="text1"/>
          <w:szCs w:val="28"/>
          <w:lang w:val="vi-VN"/>
        </w:rPr>
        <w:t>ch, tiết kiệm, hiệu quả v</w:t>
      </w:r>
      <w:r w:rsidRPr="00E73FB2">
        <w:rPr>
          <w:rFonts w:cs="Times New Roman" w:hint="eastAsia"/>
          <w:color w:val="000000" w:themeColor="text1"/>
          <w:szCs w:val="28"/>
          <w:lang w:val="vi-VN"/>
        </w:rPr>
        <w:t>à</w:t>
      </w:r>
      <w:r w:rsidRPr="00E73FB2">
        <w:rPr>
          <w:rFonts w:cs="Times New Roman"/>
          <w:color w:val="000000" w:themeColor="text1"/>
          <w:szCs w:val="28"/>
          <w:lang w:val="vi-VN"/>
        </w:rPr>
        <w:t xml:space="preserve"> c</w:t>
      </w:r>
      <w:r w:rsidRPr="00E73FB2">
        <w:rPr>
          <w:rFonts w:cs="Times New Roman" w:hint="eastAsia"/>
          <w:color w:val="000000" w:themeColor="text1"/>
          <w:szCs w:val="28"/>
          <w:lang w:val="vi-VN"/>
        </w:rPr>
        <w:t>ô</w:t>
      </w:r>
      <w:r w:rsidRPr="00E73FB2">
        <w:rPr>
          <w:rFonts w:cs="Times New Roman"/>
          <w:color w:val="000000" w:themeColor="text1"/>
          <w:szCs w:val="28"/>
          <w:lang w:val="vi-VN"/>
        </w:rPr>
        <w:t>ng khai, minh bạch.</w:t>
      </w:r>
    </w:p>
    <w:p w:rsidR="008753D6" w:rsidRPr="008753D6" w:rsidRDefault="008753D6">
      <w:pPr>
        <w:spacing w:before="120" w:after="0" w:line="240" w:lineRule="auto"/>
        <w:contextualSpacing w:val="0"/>
        <w:rPr>
          <w:lang w:val="vi-VN"/>
        </w:rPr>
      </w:pPr>
      <w:r w:rsidRPr="00E73FB2">
        <w:rPr>
          <w:lang w:val="vi-VN"/>
        </w:rPr>
        <w:t>6</w:t>
      </w:r>
      <w:r w:rsidRPr="008753D6">
        <w:rPr>
          <w:lang w:val="vi-VN"/>
        </w:rPr>
        <w:t xml:space="preserve">. Bộ Ngoại giao </w:t>
      </w:r>
      <w:r w:rsidR="00C44313">
        <w:t>có</w:t>
      </w:r>
      <w:r w:rsidRPr="008753D6">
        <w:rPr>
          <w:lang w:val="vi-VN"/>
        </w:rPr>
        <w:t xml:space="preserve"> trách nhiệm…</w:t>
      </w:r>
    </w:p>
    <w:p w:rsidR="008753D6" w:rsidRPr="008753D6" w:rsidRDefault="008753D6">
      <w:pPr>
        <w:spacing w:before="120" w:after="0" w:line="240" w:lineRule="auto"/>
        <w:contextualSpacing w:val="0"/>
        <w:rPr>
          <w:lang w:val="vi-VN"/>
        </w:rPr>
      </w:pPr>
      <w:r w:rsidRPr="008753D6">
        <w:rPr>
          <w:lang w:val="vi-VN"/>
        </w:rPr>
        <w:t>……………………………………………………………………………..</w:t>
      </w:r>
    </w:p>
    <w:p w:rsidR="008753D6" w:rsidRPr="00E73FB2" w:rsidRDefault="008753D6" w:rsidP="00E73FB2">
      <w:pPr>
        <w:spacing w:before="120" w:after="0" w:line="240" w:lineRule="auto"/>
        <w:contextualSpacing w:val="0"/>
        <w:rPr>
          <w:rFonts w:cs="Times New Roman"/>
          <w:color w:val="000000" w:themeColor="text1"/>
          <w:szCs w:val="28"/>
          <w:lang w:val="vi-VN"/>
        </w:rPr>
      </w:pPr>
    </w:p>
    <w:p w:rsidR="00063898" w:rsidRPr="008753D6" w:rsidRDefault="002B4B8A">
      <w:pPr>
        <w:spacing w:before="120" w:after="0" w:line="240" w:lineRule="auto"/>
        <w:contextualSpacing w:val="0"/>
        <w:rPr>
          <w:lang w:val="vi-VN"/>
        </w:rPr>
      </w:pPr>
      <w:r>
        <w:t>7</w:t>
      </w:r>
      <w:r w:rsidR="00063898" w:rsidRPr="008753D6">
        <w:rPr>
          <w:lang w:val="vi-VN"/>
        </w:rPr>
        <w:t>. Các Bộ trưởng, Thủ trưởng cơ quan ngang bộ, Thủ trưởng cơ quan thuộc Chính phủ, Chủ tịch Ủy ban nhân dân tỉnh, thành phố, tổ chức, cá nhân có liên quan chịu trách nhiệm thi hành Nghị định này./</w:t>
      </w:r>
    </w:p>
    <w:p w:rsidR="00063898" w:rsidRPr="008753D6" w:rsidRDefault="00063898" w:rsidP="00E73FB2">
      <w:pPr>
        <w:spacing w:before="120" w:after="0" w:line="240" w:lineRule="auto"/>
        <w:ind w:firstLine="0"/>
        <w:contextualSpacing w:val="0"/>
        <w:rPr>
          <w:rFonts w:cs="Times New Roman"/>
          <w:sz w:val="27"/>
          <w:szCs w:val="27"/>
          <w:lang w:val="vi-VN"/>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063898" w:rsidRPr="00AE7052" w:rsidTr="009032F4">
        <w:tc>
          <w:tcPr>
            <w:tcW w:w="5812" w:type="dxa"/>
          </w:tcPr>
          <w:p w:rsidR="00063898" w:rsidRPr="008753D6" w:rsidRDefault="00063898" w:rsidP="009032F4">
            <w:pPr>
              <w:spacing w:before="120" w:after="0"/>
              <w:ind w:firstLine="37"/>
              <w:contextualSpacing w:val="0"/>
              <w:rPr>
                <w:rFonts w:cs="Times New Roman"/>
                <w:b/>
                <w:bCs/>
                <w:i/>
                <w:iCs/>
                <w:lang w:val="vi-VN"/>
              </w:rPr>
            </w:pPr>
            <w:r w:rsidRPr="008753D6">
              <w:rPr>
                <w:rFonts w:cs="Times New Roman"/>
                <w:b/>
                <w:bCs/>
                <w:i/>
                <w:iCs/>
                <w:lang w:val="vi-VN"/>
              </w:rPr>
              <w:t>Nơi nhận:</w:t>
            </w:r>
          </w:p>
          <w:p w:rsidR="00063898" w:rsidRPr="008753D6" w:rsidRDefault="00063898" w:rsidP="00E73FB2">
            <w:pPr>
              <w:spacing w:after="0"/>
              <w:ind w:firstLine="40"/>
              <w:contextualSpacing w:val="0"/>
              <w:rPr>
                <w:rFonts w:cs="Times New Roman"/>
                <w:sz w:val="21"/>
                <w:szCs w:val="21"/>
                <w:lang w:val="vi-VN"/>
              </w:rPr>
            </w:pPr>
            <w:r w:rsidRPr="008753D6">
              <w:rPr>
                <w:rFonts w:cs="Times New Roman"/>
                <w:sz w:val="21"/>
                <w:szCs w:val="21"/>
                <w:lang w:val="vi-VN"/>
              </w:rPr>
              <w:t>- Ban Bí thư Trung ương Đảng;</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Ủy ban Thường vụ Quốc hội;</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Thủ tướng, các Phó Thủ tướng Chính phủ;</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Ủy ban Trung ương Mặt trận Tổ quốc Việt Nam;</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Văn phòng Trung ương và các Ban của Đảng;</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Văn phòng Tổng Bí thư;</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Văn phòng Chủ tịch nước;</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Văn phòng Quốc hội;</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Hội đồng Dân tộc và các Ủy ban của Quốc hội;</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Tòa án nhân dân tối cao;</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Viện Kiểm sát nhân dân tối cao;</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Kiểm toán nhà nước;</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Các bộ, cơ quan ngang bộ, cơ quan thuộc Chính phủ;</w:t>
            </w:r>
          </w:p>
          <w:p w:rsidR="00063898" w:rsidRPr="00D05A5B" w:rsidRDefault="00063898" w:rsidP="00E73FB2">
            <w:pPr>
              <w:spacing w:after="0"/>
              <w:ind w:firstLine="40"/>
              <w:contextualSpacing w:val="0"/>
              <w:rPr>
                <w:rFonts w:cs="Times New Roman"/>
                <w:sz w:val="21"/>
                <w:szCs w:val="21"/>
              </w:rPr>
            </w:pPr>
            <w:r w:rsidRPr="00D05A5B">
              <w:rPr>
                <w:rFonts w:cs="Times New Roman"/>
                <w:sz w:val="21"/>
                <w:szCs w:val="21"/>
              </w:rPr>
              <w:t>- HĐND, UBND các tỉnh, thành phố trực thuộc trung ương;</w:t>
            </w:r>
          </w:p>
          <w:p w:rsidR="00063898" w:rsidRPr="00D05A5B" w:rsidRDefault="00063898" w:rsidP="00E73FB2">
            <w:pPr>
              <w:spacing w:after="0"/>
              <w:ind w:firstLine="40"/>
              <w:contextualSpacing w:val="0"/>
              <w:jc w:val="left"/>
              <w:rPr>
                <w:rFonts w:cs="Times New Roman"/>
                <w:sz w:val="21"/>
                <w:szCs w:val="21"/>
              </w:rPr>
            </w:pPr>
            <w:r w:rsidRPr="00D05A5B">
              <w:rPr>
                <w:rFonts w:cs="Times New Roman"/>
                <w:sz w:val="21"/>
                <w:szCs w:val="21"/>
              </w:rPr>
              <w:t>- VPCP: BTCN, các PCN, Trợ lý, Thư ký TTg, TGĐ Cổng TTĐT, các Vụ, Cục;</w:t>
            </w:r>
          </w:p>
          <w:p w:rsidR="00063898" w:rsidRPr="00D05A5B" w:rsidRDefault="00063898" w:rsidP="00E73FB2">
            <w:pPr>
              <w:spacing w:after="0"/>
              <w:ind w:firstLine="40"/>
              <w:contextualSpacing w:val="0"/>
              <w:jc w:val="left"/>
              <w:rPr>
                <w:rFonts w:cs="Times New Roman"/>
                <w:szCs w:val="28"/>
              </w:rPr>
            </w:pPr>
            <w:r w:rsidRPr="00D05A5B">
              <w:rPr>
                <w:rFonts w:cs="Times New Roman"/>
                <w:sz w:val="21"/>
                <w:szCs w:val="21"/>
              </w:rPr>
              <w:t>- Lưu: VT, QHQT (  b).</w:t>
            </w:r>
          </w:p>
        </w:tc>
        <w:tc>
          <w:tcPr>
            <w:tcW w:w="4111" w:type="dxa"/>
          </w:tcPr>
          <w:p w:rsidR="00063898" w:rsidRPr="00E73FB2" w:rsidRDefault="00063898" w:rsidP="009032F4">
            <w:pPr>
              <w:spacing w:before="120" w:after="0"/>
              <w:ind w:firstLine="37"/>
              <w:contextualSpacing w:val="0"/>
              <w:jc w:val="center"/>
              <w:rPr>
                <w:rFonts w:eastAsia="Times New Roman" w:cs="Times New Roman"/>
                <w:szCs w:val="28"/>
              </w:rPr>
            </w:pPr>
            <w:r w:rsidRPr="00E73FB2">
              <w:rPr>
                <w:rFonts w:eastAsia="Times New Roman" w:cs="Times New Roman"/>
                <w:b/>
                <w:bCs/>
                <w:szCs w:val="28"/>
              </w:rPr>
              <w:t>TM. CHÍNH PHỦ</w:t>
            </w:r>
            <w:r w:rsidRPr="00E73FB2">
              <w:rPr>
                <w:rFonts w:eastAsia="Times New Roman" w:cs="Times New Roman"/>
                <w:szCs w:val="28"/>
              </w:rPr>
              <w:br/>
            </w:r>
            <w:r w:rsidRPr="00E73FB2">
              <w:rPr>
                <w:rFonts w:eastAsia="Times New Roman" w:cs="Times New Roman"/>
                <w:b/>
                <w:bCs/>
                <w:szCs w:val="28"/>
              </w:rPr>
              <w:t>THỦ TƯỚNG</w:t>
            </w:r>
            <w:r w:rsidRPr="00E73FB2">
              <w:rPr>
                <w:rFonts w:eastAsia="Times New Roman" w:cs="Times New Roman"/>
                <w:szCs w:val="28"/>
              </w:rPr>
              <w:br/>
            </w:r>
          </w:p>
          <w:p w:rsidR="00063898" w:rsidRPr="00F12C82" w:rsidRDefault="00063898" w:rsidP="009032F4">
            <w:pPr>
              <w:spacing w:before="120" w:after="0"/>
              <w:ind w:firstLine="37"/>
              <w:contextualSpacing w:val="0"/>
              <w:jc w:val="center"/>
              <w:rPr>
                <w:rFonts w:cs="Times New Roman"/>
                <w:b/>
                <w:bCs/>
                <w:szCs w:val="28"/>
              </w:rPr>
            </w:pPr>
          </w:p>
          <w:p w:rsidR="00063898" w:rsidRDefault="00063898" w:rsidP="009032F4">
            <w:pPr>
              <w:spacing w:before="120" w:after="0"/>
              <w:ind w:firstLine="37"/>
              <w:contextualSpacing w:val="0"/>
              <w:jc w:val="center"/>
              <w:rPr>
                <w:rFonts w:cs="Times New Roman"/>
                <w:b/>
                <w:bCs/>
                <w:szCs w:val="28"/>
              </w:rPr>
            </w:pPr>
          </w:p>
          <w:p w:rsidR="00D95D87" w:rsidRDefault="00D95D87" w:rsidP="009032F4">
            <w:pPr>
              <w:spacing w:before="120" w:after="0"/>
              <w:ind w:firstLine="37"/>
              <w:contextualSpacing w:val="0"/>
              <w:jc w:val="center"/>
              <w:rPr>
                <w:rFonts w:cs="Times New Roman"/>
                <w:b/>
                <w:bCs/>
                <w:szCs w:val="28"/>
              </w:rPr>
            </w:pPr>
          </w:p>
          <w:p w:rsidR="00D95D87" w:rsidRPr="00F12C82" w:rsidRDefault="00D95D87" w:rsidP="009032F4">
            <w:pPr>
              <w:spacing w:before="120" w:after="0"/>
              <w:ind w:firstLine="37"/>
              <w:contextualSpacing w:val="0"/>
              <w:jc w:val="center"/>
              <w:rPr>
                <w:rFonts w:cs="Times New Roman"/>
                <w:b/>
                <w:bCs/>
                <w:szCs w:val="28"/>
              </w:rPr>
            </w:pPr>
          </w:p>
          <w:p w:rsidR="00063898" w:rsidRPr="00AE7052" w:rsidRDefault="00063898" w:rsidP="009032F4">
            <w:pPr>
              <w:spacing w:before="120" w:after="0"/>
              <w:ind w:firstLine="37"/>
              <w:contextualSpacing w:val="0"/>
              <w:jc w:val="center"/>
              <w:rPr>
                <w:rFonts w:cs="Times New Roman"/>
                <w:b/>
                <w:bCs/>
                <w:szCs w:val="28"/>
              </w:rPr>
            </w:pPr>
            <w:r w:rsidRPr="00F12C82">
              <w:rPr>
                <w:rFonts w:cs="Times New Roman"/>
                <w:b/>
                <w:bCs/>
                <w:szCs w:val="28"/>
              </w:rPr>
              <w:t>Phạm Minh Chính</w:t>
            </w:r>
          </w:p>
        </w:tc>
      </w:tr>
    </w:tbl>
    <w:p w:rsidR="00063898" w:rsidRPr="00AE7052" w:rsidRDefault="00063898" w:rsidP="00063898">
      <w:pPr>
        <w:shd w:val="clear" w:color="auto" w:fill="FFFFFF"/>
        <w:spacing w:before="120" w:after="0" w:line="240" w:lineRule="auto"/>
        <w:contextualSpacing w:val="0"/>
        <w:rPr>
          <w:rFonts w:cs="Times New Roman"/>
          <w:szCs w:val="28"/>
        </w:rPr>
      </w:pPr>
    </w:p>
    <w:p w:rsidR="00A14AD9" w:rsidRDefault="00E73FB2"/>
    <w:sectPr w:rsidR="00A14AD9" w:rsidSect="008220F7">
      <w:headerReference w:type="default" r:id="rId7"/>
      <w:pgSz w:w="11909" w:h="16834"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40" w:rsidRDefault="00683440">
      <w:pPr>
        <w:spacing w:after="0" w:line="240" w:lineRule="auto"/>
      </w:pPr>
      <w:r>
        <w:separator/>
      </w:r>
    </w:p>
  </w:endnote>
  <w:endnote w:type="continuationSeparator" w:id="0">
    <w:p w:rsidR="00683440" w:rsidRDefault="0068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ICTFontTextStyleBody">
    <w:altName w:val="Cambria"/>
    <w:charset w:val="00"/>
    <w:family w:val="roman"/>
    <w:pitch w:val="default"/>
  </w:font>
  <w:font w:name=".AppleSystemUIFont">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40" w:rsidRDefault="00683440">
      <w:pPr>
        <w:spacing w:after="0" w:line="240" w:lineRule="auto"/>
      </w:pPr>
      <w:r>
        <w:separator/>
      </w:r>
    </w:p>
  </w:footnote>
  <w:footnote w:type="continuationSeparator" w:id="0">
    <w:p w:rsidR="00683440" w:rsidRDefault="0068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81433"/>
      <w:docPartObj>
        <w:docPartGallery w:val="Page Numbers (Top of Page)"/>
        <w:docPartUnique/>
      </w:docPartObj>
    </w:sdtPr>
    <w:sdtEndPr>
      <w:rPr>
        <w:noProof/>
      </w:rPr>
    </w:sdtEndPr>
    <w:sdtContent>
      <w:p w:rsidR="00C217D6" w:rsidRDefault="009C23B2">
        <w:pPr>
          <w:pStyle w:val="Header"/>
          <w:jc w:val="center"/>
        </w:pPr>
        <w:r>
          <w:fldChar w:fldCharType="begin"/>
        </w:r>
        <w:r>
          <w:instrText xml:space="preserve"> PAGE   \* MERGEFORMAT </w:instrText>
        </w:r>
        <w:r>
          <w:fldChar w:fldCharType="separate"/>
        </w:r>
        <w:r w:rsidR="00E73FB2">
          <w:rPr>
            <w:noProof/>
          </w:rPr>
          <w:t>3</w:t>
        </w:r>
        <w:r>
          <w:rPr>
            <w:noProof/>
          </w:rPr>
          <w:fldChar w:fldCharType="end"/>
        </w:r>
      </w:p>
    </w:sdtContent>
  </w:sdt>
  <w:p w:rsidR="00C217D6" w:rsidRDefault="00E73F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28FA"/>
    <w:multiLevelType w:val="hybridMultilevel"/>
    <w:tmpl w:val="322AE7BC"/>
    <w:lvl w:ilvl="0" w:tplc="BD3648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AA5EA8"/>
    <w:multiLevelType w:val="multilevel"/>
    <w:tmpl w:val="1F28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98"/>
    <w:rsid w:val="00046913"/>
    <w:rsid w:val="00063898"/>
    <w:rsid w:val="00152265"/>
    <w:rsid w:val="001567F6"/>
    <w:rsid w:val="001A2C1E"/>
    <w:rsid w:val="001F6C23"/>
    <w:rsid w:val="00224833"/>
    <w:rsid w:val="0024159D"/>
    <w:rsid w:val="002474D8"/>
    <w:rsid w:val="002B4B8A"/>
    <w:rsid w:val="00402E53"/>
    <w:rsid w:val="00431C30"/>
    <w:rsid w:val="00597C6C"/>
    <w:rsid w:val="005E4A2E"/>
    <w:rsid w:val="00683440"/>
    <w:rsid w:val="006F58A3"/>
    <w:rsid w:val="0075562E"/>
    <w:rsid w:val="00756833"/>
    <w:rsid w:val="00787BE9"/>
    <w:rsid w:val="007A7B62"/>
    <w:rsid w:val="007C5BB6"/>
    <w:rsid w:val="007D721E"/>
    <w:rsid w:val="0080575F"/>
    <w:rsid w:val="00853A7C"/>
    <w:rsid w:val="0086338A"/>
    <w:rsid w:val="008753D6"/>
    <w:rsid w:val="009606CF"/>
    <w:rsid w:val="009877D7"/>
    <w:rsid w:val="009C23B2"/>
    <w:rsid w:val="00AA134A"/>
    <w:rsid w:val="00B20A70"/>
    <w:rsid w:val="00BA2D9F"/>
    <w:rsid w:val="00C0029D"/>
    <w:rsid w:val="00C10260"/>
    <w:rsid w:val="00C44313"/>
    <w:rsid w:val="00CB3EE2"/>
    <w:rsid w:val="00D1351C"/>
    <w:rsid w:val="00D735CD"/>
    <w:rsid w:val="00D95D87"/>
    <w:rsid w:val="00E00400"/>
    <w:rsid w:val="00E30949"/>
    <w:rsid w:val="00E36ECD"/>
    <w:rsid w:val="00E73FB2"/>
    <w:rsid w:val="00EC4052"/>
    <w:rsid w:val="00F12C82"/>
    <w:rsid w:val="00F251A7"/>
    <w:rsid w:val="00F46D86"/>
    <w:rsid w:val="00F75AE1"/>
    <w:rsid w:val="00FE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D8FE-2F59-4C01-9092-AF9DD70EC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898"/>
    <w:pPr>
      <w:spacing w:after="120"/>
      <w:ind w:firstLine="720"/>
      <w:contextualSpacing/>
      <w:jc w:val="both"/>
    </w:pPr>
    <w:rPr>
      <w:rFonts w:ascii="Times New Roman" w:hAnsi="Times New Roman"/>
      <w:sz w:val="28"/>
    </w:rPr>
  </w:style>
  <w:style w:type="paragraph" w:styleId="Heading1">
    <w:name w:val="heading 1"/>
    <w:basedOn w:val="Normal"/>
    <w:next w:val="Normal"/>
    <w:link w:val="Heading1Char"/>
    <w:uiPriority w:val="9"/>
    <w:qFormat/>
    <w:rsid w:val="00063898"/>
    <w:pPr>
      <w:keepNext/>
      <w:keepLines/>
      <w:spacing w:before="240" w:after="0"/>
      <w:ind w:firstLine="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063898"/>
    <w:pPr>
      <w:keepNext/>
      <w:keepLines/>
      <w:spacing w:before="40" w:after="0"/>
      <w:outlineLvl w:val="1"/>
    </w:pPr>
    <w:rPr>
      <w:rFonts w:eastAsiaTheme="majorEastAsia" w:cstheme="majorBidi"/>
      <w:b/>
      <w:szCs w:val="26"/>
    </w:rPr>
  </w:style>
  <w:style w:type="paragraph" w:styleId="Heading3">
    <w:name w:val="heading 3"/>
    <w:basedOn w:val="Normal"/>
    <w:link w:val="Heading3Char"/>
    <w:uiPriority w:val="9"/>
    <w:qFormat/>
    <w:rsid w:val="00063898"/>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898"/>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63898"/>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063898"/>
    <w:rPr>
      <w:rFonts w:ascii="Times New Roman" w:eastAsia="Times New Roman" w:hAnsi="Times New Roman" w:cs="Times New Roman"/>
      <w:b/>
      <w:bCs/>
      <w:sz w:val="27"/>
      <w:szCs w:val="27"/>
    </w:rPr>
  </w:style>
  <w:style w:type="paragraph" w:styleId="ListParagraph">
    <w:name w:val="List Paragraph"/>
    <w:basedOn w:val="Normal"/>
    <w:uiPriority w:val="34"/>
    <w:qFormat/>
    <w:rsid w:val="00063898"/>
    <w:pPr>
      <w:ind w:left="720"/>
    </w:pPr>
  </w:style>
  <w:style w:type="table" w:styleId="TableGrid">
    <w:name w:val="Table Grid"/>
    <w:basedOn w:val="TableNormal"/>
    <w:uiPriority w:val="39"/>
    <w:rsid w:val="00063898"/>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bangbieu, Char Char Char,Char,Char Char25"/>
    <w:basedOn w:val="Normal"/>
    <w:link w:val="NormalWebChar"/>
    <w:uiPriority w:val="99"/>
    <w:unhideWhenUsed/>
    <w:qFormat/>
    <w:rsid w:val="0006389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06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8"/>
    <w:rPr>
      <w:rFonts w:ascii="Times New Roman" w:hAnsi="Times New Roman"/>
      <w:sz w:val="28"/>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0638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53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3D6"/>
    <w:rPr>
      <w:rFonts w:ascii="Segoe UI" w:hAnsi="Segoe UI" w:cs="Segoe UI"/>
      <w:sz w:val="18"/>
      <w:szCs w:val="18"/>
    </w:rPr>
  </w:style>
  <w:style w:type="character" w:customStyle="1" w:styleId="s2">
    <w:name w:val="s2"/>
    <w:basedOn w:val="DefaultParagraphFont"/>
    <w:rsid w:val="00E00400"/>
    <w:rPr>
      <w:rFonts w:ascii="UICTFontTextStyleBody" w:hAnsi="UICTFontTextStyleBody" w:hint="default"/>
      <w:b w:val="0"/>
      <w:bCs w:val="0"/>
      <w:i w:val="0"/>
      <w:iCs w:val="0"/>
      <w:sz w:val="29"/>
      <w:szCs w:val="29"/>
    </w:rPr>
  </w:style>
  <w:style w:type="paragraph" w:customStyle="1" w:styleId="p1">
    <w:name w:val="p1"/>
    <w:basedOn w:val="Normal"/>
    <w:rsid w:val="00E00400"/>
    <w:pPr>
      <w:spacing w:after="0" w:line="240" w:lineRule="auto"/>
      <w:ind w:left="540" w:firstLine="0"/>
      <w:contextualSpacing w:val="0"/>
      <w:jc w:val="left"/>
    </w:pPr>
    <w:rPr>
      <w:rFonts w:ascii=".AppleSystemUIFont" w:eastAsiaTheme="minorEastAsia" w:hAnsi=".AppleSystemUIFont"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cp:lastPrinted>2026-02-13T06:47:00Z</cp:lastPrinted>
  <dcterms:created xsi:type="dcterms:W3CDTF">2026-02-13T00:31:00Z</dcterms:created>
  <dcterms:modified xsi:type="dcterms:W3CDTF">2026-02-13T06:48:00Z</dcterms:modified>
</cp:coreProperties>
</file>