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B6" w:rsidRDefault="00341FB6" w:rsidP="00341FB6">
      <w:pPr>
        <w:pStyle w:val="normal0"/>
        <w:widowControl w:val="0"/>
        <w:pBdr>
          <w:top w:val="nil"/>
          <w:left w:val="nil"/>
          <w:bottom w:val="nil"/>
          <w:right w:val="nil"/>
          <w:between w:val="nil"/>
        </w:pBdr>
        <w:spacing w:after="0"/>
        <w:rPr>
          <w:color w:val="000000"/>
        </w:rPr>
      </w:pPr>
    </w:p>
    <w:tbl>
      <w:tblPr>
        <w:tblW w:w="9108" w:type="dxa"/>
        <w:tblInd w:w="-108" w:type="dxa"/>
        <w:tblLayout w:type="fixed"/>
        <w:tblLook w:val="0000"/>
      </w:tblPr>
      <w:tblGrid>
        <w:gridCol w:w="2988"/>
        <w:gridCol w:w="6120"/>
      </w:tblGrid>
      <w:tr w:rsidR="00341FB6" w:rsidTr="0086781A">
        <w:trPr>
          <w:trHeight w:val="1356"/>
        </w:trPr>
        <w:tc>
          <w:tcPr>
            <w:tcW w:w="2988" w:type="dxa"/>
          </w:tcPr>
          <w:p w:rsidR="00341FB6" w:rsidRDefault="00341FB6" w:rsidP="0086781A">
            <w:pPr>
              <w:pStyle w:val="normal0"/>
              <w:widowControl w:val="0"/>
              <w:pBdr>
                <w:top w:val="nil"/>
                <w:left w:val="nil"/>
                <w:bottom w:val="nil"/>
                <w:right w:val="nil"/>
                <w:between w:val="nil"/>
              </w:pBdr>
              <w:spacing w:after="120"/>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BỘ CÔNG THƯƠNG</w:t>
            </w:r>
            <w:r>
              <w:rPr>
                <w:noProof/>
                <w:lang w:val="en-US"/>
              </w:rPr>
              <w:drawing>
                <wp:anchor distT="4294967293" distB="4294967293" distL="114300" distR="114300" simplePos="0" relativeHeight="251659264" behindDoc="0" locked="0" layoutInCell="1" allowOverlap="1">
                  <wp:simplePos x="0" y="0"/>
                  <wp:positionH relativeFrom="column">
                    <wp:posOffset>552450</wp:posOffset>
                  </wp:positionH>
                  <wp:positionV relativeFrom="paragraph">
                    <wp:posOffset>239396</wp:posOffset>
                  </wp:positionV>
                  <wp:extent cx="533400" cy="12700"/>
                  <wp:effectExtent l="0" t="0" r="0" b="0"/>
                  <wp:wrapNone/>
                  <wp:docPr id="1797231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33400" cy="12700"/>
                          </a:xfrm>
                          <a:prstGeom prst="rect">
                            <a:avLst/>
                          </a:prstGeom>
                          <a:ln/>
                        </pic:spPr>
                      </pic:pic>
                    </a:graphicData>
                  </a:graphic>
                </wp:anchor>
              </w:drawing>
            </w:r>
          </w:p>
          <w:p w:rsidR="00341FB6" w:rsidRDefault="00341FB6" w:rsidP="0086781A">
            <w:pPr>
              <w:pStyle w:val="normal0"/>
              <w:widowControl w:val="0"/>
              <w:pBdr>
                <w:top w:val="nil"/>
                <w:left w:val="nil"/>
                <w:bottom w:val="nil"/>
                <w:right w:val="nil"/>
                <w:between w:val="nil"/>
              </w:pBdr>
              <w:spacing w:before="60" w:after="120"/>
              <w:jc w:val="center"/>
              <w:rPr>
                <w:rFonts w:ascii="Times New Roman" w:eastAsia="Times New Roman" w:hAnsi="Times New Roman" w:cs="Times New Roman"/>
                <w:color w:val="000000"/>
                <w:sz w:val="28"/>
                <w:szCs w:val="28"/>
              </w:rPr>
            </w:pPr>
          </w:p>
          <w:p w:rsidR="00341FB6" w:rsidRDefault="00341FB6" w:rsidP="0086781A">
            <w:pPr>
              <w:pStyle w:val="normal0"/>
              <w:widowControl w:val="0"/>
              <w:pBdr>
                <w:top w:val="nil"/>
                <w:left w:val="nil"/>
                <w:bottom w:val="nil"/>
                <w:right w:val="nil"/>
                <w:between w:val="nil"/>
              </w:pBdr>
              <w:spacing w:before="60" w:after="1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/2026/TT-BCT</w:t>
            </w:r>
          </w:p>
        </w:tc>
        <w:tc>
          <w:tcPr>
            <w:tcW w:w="6120" w:type="dxa"/>
          </w:tcPr>
          <w:p w:rsidR="00341FB6" w:rsidRDefault="00341FB6" w:rsidP="0086781A">
            <w:pPr>
              <w:pStyle w:val="normal0"/>
              <w:widowControl w:val="0"/>
              <w:pBdr>
                <w:top w:val="nil"/>
                <w:left w:val="nil"/>
                <w:bottom w:val="nil"/>
                <w:right w:val="nil"/>
                <w:between w:val="nil"/>
              </w:pBd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CỘNG HOÀ XÃ HỘI CHỦ NGHĨA VIỆT NAM</w:t>
            </w:r>
          </w:p>
          <w:p w:rsidR="00341FB6" w:rsidRDefault="00341FB6" w:rsidP="0086781A">
            <w:pPr>
              <w:pStyle w:val="normal0"/>
              <w:widowControl w:val="0"/>
              <w:pBdr>
                <w:top w:val="nil"/>
                <w:left w:val="nil"/>
                <w:bottom w:val="nil"/>
                <w:right w:val="nil"/>
                <w:between w:val="nil"/>
              </w:pBd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Độc lập - Tự do - Hạnh phúc</w:t>
            </w:r>
          </w:p>
          <w:p w:rsidR="00341FB6" w:rsidRDefault="00341FB6" w:rsidP="0086781A">
            <w:pPr>
              <w:pStyle w:val="normal0"/>
              <w:widowControl w:val="0"/>
              <w:pBdr>
                <w:top w:val="nil"/>
                <w:left w:val="nil"/>
                <w:bottom w:val="nil"/>
                <w:right w:val="nil"/>
                <w:between w:val="nil"/>
              </w:pBdr>
              <w:spacing w:after="120"/>
              <w:jc w:val="center"/>
              <w:rPr>
                <w:rFonts w:ascii="Times New Roman" w:eastAsia="Times New Roman" w:hAnsi="Times New Roman" w:cs="Times New Roman"/>
                <w:color w:val="000000"/>
                <w:sz w:val="28"/>
                <w:szCs w:val="28"/>
              </w:rPr>
            </w:pPr>
            <w:r>
              <w:rPr>
                <w:noProof/>
                <w:lang w:val="en-US"/>
              </w:rPr>
              <w:drawing>
                <wp:anchor distT="4294967293" distB="4294967293" distL="114300" distR="114300" simplePos="0" relativeHeight="251660288" behindDoc="0" locked="0" layoutInCell="1" allowOverlap="1">
                  <wp:simplePos x="0" y="0"/>
                  <wp:positionH relativeFrom="column">
                    <wp:posOffset>930275</wp:posOffset>
                  </wp:positionH>
                  <wp:positionV relativeFrom="paragraph">
                    <wp:posOffset>42546</wp:posOffset>
                  </wp:positionV>
                  <wp:extent cx="2015490" cy="12700"/>
                  <wp:effectExtent l="0" t="0" r="0" b="0"/>
                  <wp:wrapNone/>
                  <wp:docPr id="1797231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015490" cy="12700"/>
                          </a:xfrm>
                          <a:prstGeom prst="rect">
                            <a:avLst/>
                          </a:prstGeom>
                          <a:ln/>
                        </pic:spPr>
                      </pic:pic>
                    </a:graphicData>
                  </a:graphic>
                </wp:anchor>
              </w:drawing>
            </w:r>
          </w:p>
          <w:p w:rsidR="00341FB6" w:rsidRDefault="00341FB6" w:rsidP="0086781A">
            <w:pPr>
              <w:pStyle w:val="normal0"/>
              <w:widowControl w:val="0"/>
              <w:pBdr>
                <w:top w:val="nil"/>
                <w:left w:val="nil"/>
                <w:bottom w:val="nil"/>
                <w:right w:val="nil"/>
                <w:between w:val="nil"/>
              </w:pBdr>
              <w:spacing w:after="120"/>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Hà Nội, ngày    tháng     năm 2026</w:t>
            </w:r>
          </w:p>
        </w:tc>
      </w:tr>
    </w:tbl>
    <w:p w:rsidR="00341FB6" w:rsidRDefault="00341FB6" w:rsidP="00341FB6">
      <w:pPr>
        <w:pStyle w:val="normal0"/>
        <w:widowControl w:val="0"/>
        <w:tabs>
          <w:tab w:val="left" w:pos="3960"/>
          <w:tab w:val="center" w:pos="6120"/>
        </w:tabs>
        <w:spacing w:before="24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THÔNG TƯ</w:t>
      </w:r>
      <w:r>
        <w:rPr>
          <w:noProof/>
          <w:lang w:val="en-US"/>
        </w:rPr>
        <w:drawing>
          <wp:anchor distT="0" distB="0" distL="114300" distR="114300" simplePos="0" relativeHeight="251661312" behindDoc="0" locked="0" layoutInCell="1" allowOverlap="1">
            <wp:simplePos x="0" y="0"/>
            <wp:positionH relativeFrom="column">
              <wp:posOffset>-355281</wp:posOffset>
            </wp:positionH>
            <wp:positionV relativeFrom="paragraph">
              <wp:posOffset>14288</wp:posOffset>
            </wp:positionV>
            <wp:extent cx="1148080" cy="314325"/>
            <wp:effectExtent l="0" t="0" r="0" b="0"/>
            <wp:wrapNone/>
            <wp:docPr id="1797231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148080" cy="314325"/>
                    </a:xfrm>
                    <a:prstGeom prst="rect">
                      <a:avLst/>
                    </a:prstGeom>
                    <a:ln/>
                  </pic:spPr>
                </pic:pic>
              </a:graphicData>
            </a:graphic>
          </wp:anchor>
        </w:drawing>
      </w:r>
    </w:p>
    <w:p w:rsidR="00341FB6" w:rsidRDefault="00341FB6" w:rsidP="00341FB6">
      <w:pPr>
        <w:pStyle w:val="normal0"/>
        <w:widowControl w:val="0"/>
        <w:tabs>
          <w:tab w:val="left" w:pos="3960"/>
          <w:tab w:val="center" w:pos="6120"/>
        </w:tabs>
        <w:spacing w:before="24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Ban hành sửa đổi các QCVN về an toàn trong lĩnh vực khí dầu mỏ hóa lỏng</w:t>
      </w:r>
    </w:p>
    <w:p w:rsidR="00341FB6" w:rsidRDefault="00341FB6" w:rsidP="00341FB6">
      <w:pPr>
        <w:pStyle w:val="normal0"/>
        <w:widowControl w:val="0"/>
        <w:pBdr>
          <w:top w:val="nil"/>
          <w:left w:val="nil"/>
          <w:bottom w:val="nil"/>
          <w:right w:val="nil"/>
          <w:between w:val="nil"/>
        </w:pBdr>
        <w:spacing w:before="120" w:after="120" w:line="264" w:lineRule="auto"/>
        <w:rPr>
          <w:rFonts w:ascii="Times New Roman" w:eastAsia="Times New Roman" w:hAnsi="Times New Roman" w:cs="Times New Roman"/>
          <w:color w:val="000000"/>
          <w:sz w:val="28"/>
          <w:szCs w:val="28"/>
        </w:rPr>
      </w:pPr>
      <w:r>
        <w:rPr>
          <w:noProof/>
          <w:lang w:val="en-US"/>
        </w:rPr>
        <w:drawing>
          <wp:anchor distT="4294967293" distB="4294967293" distL="114300" distR="114300" simplePos="0" relativeHeight="251662336" behindDoc="0" locked="0" layoutInCell="1" allowOverlap="1">
            <wp:simplePos x="0" y="0"/>
            <wp:positionH relativeFrom="column">
              <wp:posOffset>2190750</wp:posOffset>
            </wp:positionH>
            <wp:positionV relativeFrom="paragraph">
              <wp:posOffset>86361</wp:posOffset>
            </wp:positionV>
            <wp:extent cx="1511300" cy="12700"/>
            <wp:effectExtent l="0" t="0" r="0" b="0"/>
            <wp:wrapNone/>
            <wp:docPr id="179723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511300" cy="12700"/>
                    </a:xfrm>
                    <a:prstGeom prst="rect">
                      <a:avLst/>
                    </a:prstGeom>
                    <a:ln/>
                  </pic:spPr>
                </pic:pic>
              </a:graphicData>
            </a:graphic>
          </wp:anchor>
        </w:drawing>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Căn cứ Luật Tiêu chuẩn và quy chuẩn kỹ thuật số 68/2006/QH11 được sửa đổi, bổ sung bởi Luật số 35/2018/QH14 và Luật số 70/2025/QH15;</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Căn cứ Nghị định số 22/2026/NĐ-CP ngày 16 tháng 01 năm 2026 của Chính phủ quy định chi tiết một số điều và biện  pháp để tổ chức, hướng dẫn thi hành uật Tiêu chuẩn và Quy chuẩn kỹ thuật;</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Căn cứ Nghị định số 40/2025/NĐ-CP ngày 26 tháng 02 năm 2025 của Chính phủ quy định chức năng, nhiệm vụ, quyền hạn và cơ cấu tổ chức của Bộ Công Thương;</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Căn cứ Thông tư số 22/2026/TT-BCT ngày 29 tháng 4 năm 2026 của Bộ Công Thương quy định về hoạt động xây dựng, áp dụng tiêu chuẩn quốc gia và quy chuẩn kỹ thuật quốc gia của Bộ Công Thương;</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Theo đề nghị của Cục trưởng Cục Kỹ thuật an toàn và Môi trường công nghiệp;</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Bộ trưởng Bộ Công Thương ban hành Thông tư ban hành các sửa đổi QCVN về an toàn trong lĩnh vực khí dầu mỏ hóa lỏng,</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Điều 1.</w:t>
      </w:r>
      <w:r>
        <w:rPr>
          <w:rFonts w:ascii="Times New Roman" w:eastAsia="Times New Roman" w:hAnsi="Times New Roman" w:cs="Times New Roman"/>
          <w:sz w:val="28"/>
          <w:szCs w:val="28"/>
        </w:rPr>
        <w:t xml:space="preserve"> Ban hành kèm theo Thông tư này các sửa đổi QCVN về an toàn trong lĩnh vực khí dầu mỏ hóa lỏng</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Sửa đổi 1: 2026 QCVN 10:2012/BCT Quy chuẩn kỹ thuật quốc gia về an toàn Trạm cấp khí dầu mỏ hóa lỏng.</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Sửa đổi 1: 2026 QCVN 04:2013/BCT Quy chuẩn kỹ thuật quốc gia về an toàn Chai chứa LPG bằng thép.</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Sửa đổi 1: 2026 QCVN 16:2022/BCT Quy chuẩn kỹ thuật quốc gia về an toàn Chai chứa LPG bằng composite.</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Sửa đổi 1: 2026 QCVN 02:2017/BCT Quy chuẩn kỹ thuật quốc gia về an toàn Chai khí dầu mỏ hóa lỏng mini.</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lastRenderedPageBreak/>
        <w:t>Sửa đổi 1: 2026 QCVN 02:2020/BCT Quy chuẩn kỹ thuật quốc gia về an toàn Bồn chứa LPG.</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Điều 2.</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Hiệu lực thi hành</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Thông tư này có hiệu lực thi hành kể từ ngày ....</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Điều 3. Tổ chức thực hiện</w:t>
      </w:r>
    </w:p>
    <w:p w:rsidR="00341FB6" w:rsidRDefault="00341FB6" w:rsidP="00341FB6">
      <w:pPr>
        <w:pStyle w:val="normal0"/>
        <w:widowControl w:val="0"/>
        <w:spacing w:before="60" w:after="6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Bộ, cơ quan ngang Bộ, cơ quan thuộc Chính phủ, Ủy ban nhân dân các tỉnh, thành phố, Thủ trưởng các cơ quan, tổ chức và cá nhân có liên quan chịu trách nhiệm thi hành Thông tư này./.</w:t>
      </w:r>
    </w:p>
    <w:p w:rsidR="00187EA6" w:rsidRDefault="00187EA6"/>
    <w:sectPr w:rsidR="00187EA6" w:rsidSect="004349D2">
      <w:headerReference w:type="default" r:id="rId5"/>
      <w:pgSz w:w="11906" w:h="16838"/>
      <w:pgMar w:top="1134" w:right="1134" w:bottom="1134" w:left="1701" w:header="709" w:footer="709" w:gutter="0"/>
      <w:pgNumType w:start="1"/>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D2" w:rsidRDefault="00341FB6">
    <w:pPr>
      <w:pStyle w:val="normal0"/>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rsidR="004349D2" w:rsidRDefault="00341FB6">
    <w:pPr>
      <w:pStyle w:val="normal0"/>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341FB6"/>
    <w:rsid w:val="00187EA6"/>
    <w:rsid w:val="00341FB6"/>
    <w:rsid w:val="00590D9D"/>
    <w:rsid w:val="00A334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B6"/>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41FB6"/>
    <w:rPr>
      <w:rFonts w:ascii="Arial" w:eastAsia="Arial" w:hAnsi="Arial" w:cs="Arial"/>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dc:creator>
  <cp:lastModifiedBy>Microsoft Windows</cp:lastModifiedBy>
  <cp:revision>1</cp:revision>
  <dcterms:created xsi:type="dcterms:W3CDTF">2026-06-08T10:13:00Z</dcterms:created>
  <dcterms:modified xsi:type="dcterms:W3CDTF">2026-06-08T10:13:00Z</dcterms:modified>
</cp:coreProperties>
</file>