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1.0" w:type="dxa"/>
        <w:jc w:val="left"/>
        <w:tblInd w:w="108.99999999999999" w:type="dxa"/>
        <w:tblLayout w:type="fixed"/>
        <w:tblLook w:val="0000"/>
      </w:tblPr>
      <w:tblGrid>
        <w:gridCol w:w="3611"/>
        <w:gridCol w:w="5400"/>
        <w:tblGridChange w:id="0">
          <w:tblGrid>
            <w:gridCol w:w="3611"/>
            <w:gridCol w:w="5400"/>
          </w:tblGrid>
        </w:tblGridChange>
      </w:tblGrid>
      <w:tr>
        <w:trPr>
          <w:cantSplit w:val="0"/>
          <w:tblHeader w:val="0"/>
        </w:trPr>
        <w:tc>
          <w:tcPr>
            <w:vAlign w:val="top"/>
          </w:tcPr>
          <w:p w:rsidR="00000000" w:rsidDel="00000000" w:rsidP="00000000" w:rsidRDefault="00000000" w:rsidRPr="00000000" w14:paraId="00000002">
            <w:pPr>
              <w:pStyle w:val="Heading3"/>
              <w:tabs>
                <w:tab w:val="left" w:leader="none" w:pos="885"/>
              </w:tabs>
              <w:ind w:left="-108" w:right="-104" w:firstLine="0"/>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i w:val="0"/>
                <w:iCs w:val="0"/>
                <w:sz w:val="24"/>
                <w:szCs w:val="24"/>
                <w:vertAlign w:val="baseline"/>
                <w:rtl w:val="0"/>
              </w:rPr>
              <w:t xml:space="preserve">BỘ CÔNG THƯƠNG</w:t>
            </w:r>
          </w:p>
          <w:p w:rsidR="00000000" w:rsidDel="00000000" w:rsidP="00000000" w:rsidRDefault="00000000" w:rsidRPr="00000000" w14:paraId="00000003">
            <w:pPr>
              <w:pStyle w:val="Heading2"/>
              <w:ind w:left="-108" w:right="-104"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CỤC KỸ THUẬT AN TOÀN</w:t>
            </w:r>
            <w:r w:rsidDel="00000000" w:rsidR="00000000" w:rsidRPr="00000000">
              <w:rPr>
                <w:rtl w:val="0"/>
              </w:rPr>
            </w:r>
          </w:p>
          <w:p w:rsidR="00000000" w:rsidDel="00000000" w:rsidP="00000000" w:rsidRDefault="00000000" w:rsidRPr="00000000" w14:paraId="00000004">
            <w:pPr>
              <w:pStyle w:val="Heading2"/>
              <w:ind w:left="-108" w:right="-104"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VÀ  MÔI  TRƯỜNG CÔNG NGHIỆP</w:t>
            </w:r>
            <w:r w:rsidDel="00000000" w:rsidR="00000000" w:rsidRPr="00000000">
              <w:rPr>
                <w:rtl w:val="0"/>
              </w:rPr>
            </w:r>
          </w:p>
          <w:p w:rsidR="00000000" w:rsidDel="00000000" w:rsidP="00000000" w:rsidRDefault="00000000" w:rsidRPr="00000000" w14:paraId="00000005">
            <w:pPr>
              <w:ind w:left="-108" w:right="-104"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578485</wp:posOffset>
                      </wp:positionH>
                      <wp:positionV relativeFrom="paragraph">
                        <wp:posOffset>11430</wp:posOffset>
                      </wp:positionV>
                      <wp:extent cx="914400" cy="12700"/>
                      <wp:effectExtent b="0" l="0" r="0" t="0"/>
                      <wp:wrapNone/>
                      <wp:docPr id="2" name=""/>
                      <a:graphic>
                        <a:graphicData uri="http://schemas.microsoft.com/office/word/2010/wordprocessingShape">
                          <wps:wsp>
                            <wps:cNvCnPr/>
                            <wps:spPr>
                              <a:xfrm>
                                <a:off x="4888800" y="3780000"/>
                                <a:ext cx="914400" cy="0"/>
                              </a:xfrm>
                              <a:prstGeom prst="straightConnector1">
                                <a:avLst/>
                              </a:prstGeom>
                              <a:no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578485</wp:posOffset>
                      </wp:positionH>
                      <wp:positionV relativeFrom="paragraph">
                        <wp:posOffset>11430</wp:posOffset>
                      </wp:positionV>
                      <wp:extent cx="9144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914400" cy="12700"/>
                              </a:xfrm>
                              <a:prstGeom prst="rect"/>
                              <a:ln/>
                            </pic:spPr>
                          </pic:pic>
                        </a:graphicData>
                      </a:graphic>
                    </wp:anchor>
                  </w:drawing>
                </mc:Fallback>
              </mc:AlternateContent>
            </w:r>
          </w:p>
          <w:p w:rsidR="00000000" w:rsidDel="00000000" w:rsidP="00000000" w:rsidRDefault="00000000" w:rsidRPr="00000000" w14:paraId="00000006">
            <w:pPr>
              <w:ind w:left="-108" w:right="-104" w:firstLine="0"/>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/TTr-ATMT</w:t>
            </w:r>
          </w:p>
        </w:tc>
        <w:tc>
          <w:tcPr>
            <w:vAlign w:val="top"/>
          </w:tcPr>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 w:right="-10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CỘNG HOÀ XÃ HỘI CHỦ NGHĨA VIỆT NAM</w:t>
            </w:r>
          </w:p>
          <w:p w:rsidR="00000000" w:rsidDel="00000000" w:rsidP="00000000" w:rsidRDefault="00000000" w:rsidRPr="00000000" w14:paraId="00000008">
            <w:pPr>
              <w:pStyle w:val="Heading3"/>
              <w:ind w:left="-108" w:right="-104" w:firstLine="0"/>
              <w:rPr>
                <w:rFonts w:ascii="Times New Roman" w:cs="Times New Roman" w:eastAsia="Times New Roman" w:hAnsi="Times New Roman"/>
                <w:b w:val="0"/>
                <w:bCs w:val="0"/>
                <w:i w:val="0"/>
                <w:iCs w:val="0"/>
                <w:vertAlign w:val="baseline"/>
              </w:rPr>
            </w:pPr>
            <w:r w:rsidDel="00000000" w:rsidR="00000000" w:rsidRPr="00000000">
              <w:rPr>
                <w:rFonts w:ascii="Times New Roman" w:cs="Times New Roman" w:eastAsia="Times New Roman" w:hAnsi="Times New Roman"/>
                <w:b w:val="1"/>
                <w:bCs w:val="1"/>
                <w:i w:val="0"/>
                <w:iCs w:val="0"/>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9">
            <w:pPr>
              <w:pStyle w:val="Heading1"/>
              <w:ind w:left="-108" w:right="-104" w:firstLine="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531495</wp:posOffset>
                      </wp:positionH>
                      <wp:positionV relativeFrom="paragraph">
                        <wp:posOffset>1905</wp:posOffset>
                      </wp:positionV>
                      <wp:extent cx="2194560" cy="12700"/>
                      <wp:effectExtent b="0" l="0" r="0" t="0"/>
                      <wp:wrapNone/>
                      <wp:docPr id="1" name=""/>
                      <a:graphic>
                        <a:graphicData uri="http://schemas.microsoft.com/office/word/2010/wordprocessingShape">
                          <wps:wsp>
                            <wps:cNvCnPr/>
                            <wps:spPr>
                              <a:xfrm>
                                <a:off x="4248720" y="3780000"/>
                                <a:ext cx="2194560" cy="0"/>
                              </a:xfrm>
                              <a:prstGeom prst="straightConnector1">
                                <a:avLst/>
                              </a:prstGeom>
                              <a:solidFill>
                                <a:srgbClr val="FFFFFF"/>
                              </a:solidFill>
                              <a:ln cap="flat" cmpd="sng" w="12700">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531495</wp:posOffset>
                      </wp:positionH>
                      <wp:positionV relativeFrom="paragraph">
                        <wp:posOffset>1905</wp:posOffset>
                      </wp:positionV>
                      <wp:extent cx="219456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94560" cy="12700"/>
                              </a:xfrm>
                              <a:prstGeom prst="rect"/>
                              <a:ln/>
                            </pic:spPr>
                          </pic:pic>
                        </a:graphicData>
                      </a:graphic>
                    </wp:anchor>
                  </w:drawing>
                </mc:Fallback>
              </mc:AlternateContent>
            </w:r>
          </w:p>
          <w:p w:rsidR="00000000" w:rsidDel="00000000" w:rsidP="00000000" w:rsidRDefault="00000000" w:rsidRPr="00000000" w14:paraId="0000000A">
            <w:pPr>
              <w:pStyle w:val="Heading1"/>
              <w:ind w:left="-108" w:right="-104" w:firstLine="0"/>
              <w:rPr>
                <w:rFonts w:ascii="Times New Roman" w:cs="Times New Roman" w:eastAsia="Times New Roman" w:hAnsi="Times New Roman"/>
                <w:b w:val="0"/>
                <w:bCs w:val="0"/>
                <w:i w:val="0"/>
                <w:iCs w:val="0"/>
                <w:sz w:val="28"/>
                <w:szCs w:val="28"/>
                <w:vertAlign w:val="baseline"/>
              </w:rPr>
            </w:pPr>
            <w:r w:rsidDel="00000000" w:rsidR="00000000" w:rsidRPr="00000000">
              <w:rPr>
                <w:rFonts w:ascii="Times New Roman" w:cs="Times New Roman" w:eastAsia="Times New Roman" w:hAnsi="Times New Roman"/>
                <w:b w:val="0"/>
                <w:bCs w:val="0"/>
                <w:i w:val="1"/>
                <w:iCs w:val="1"/>
                <w:sz w:val="28"/>
                <w:szCs w:val="28"/>
                <w:vertAlign w:val="baseline"/>
                <w:rtl w:val="0"/>
              </w:rPr>
              <w:t xml:space="preserve">Hà Nội, ngày   tháng   năm 2026</w:t>
            </w:r>
            <w:r w:rsidDel="00000000" w:rsidR="00000000" w:rsidRPr="00000000">
              <w:rPr>
                <w:rtl w:val="0"/>
              </w:rPr>
            </w:r>
          </w:p>
        </w:tc>
      </w:tr>
    </w:tbl>
    <w:p w:rsidR="00000000" w:rsidDel="00000000" w:rsidP="00000000" w:rsidRDefault="00000000" w:rsidRPr="00000000" w14:paraId="0000000B">
      <w:pPr>
        <w:keepNext w:val="1"/>
        <w:spacing w:after="80" w:before="240" w:lineRule="auto"/>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TỜ TRÌNH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-889316</wp:posOffset>
                </wp:positionH>
                <wp:positionV relativeFrom="paragraph">
                  <wp:posOffset>-141921</wp:posOffset>
                </wp:positionV>
                <wp:extent cx="1424305" cy="495300"/>
                <wp:effectExtent b="0" l="0" r="0" t="0"/>
                <wp:wrapNone/>
                <wp:docPr id="3" name=""/>
                <a:graphic>
                  <a:graphicData uri="http://schemas.microsoft.com/office/word/2010/wordprocessingShape">
                    <wps:wsp>
                      <wps:cNvSpPr/>
                      <wps:cNvPr id="4" name="Shape 4"/>
                      <wps:spPr>
                        <a:xfrm>
                          <a:off x="4638610" y="3537113"/>
                          <a:ext cx="1414780" cy="48577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DỰ THẢO GỬI LẤY Ý KIẾN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-889316</wp:posOffset>
                </wp:positionH>
                <wp:positionV relativeFrom="paragraph">
                  <wp:posOffset>-141921</wp:posOffset>
                </wp:positionV>
                <wp:extent cx="1424305" cy="4953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424305" cy="495300"/>
                        </a:xfrm>
                        <a:prstGeom prst="rect"/>
                        <a:ln/>
                      </pic:spPr>
                    </pic:pic>
                  </a:graphicData>
                </a:graphic>
              </wp:anchor>
            </w:drawing>
          </mc:Fallback>
        </mc:AlternateContent>
      </w:r>
    </w:p>
    <w:p w:rsidR="00000000" w:rsidDel="00000000" w:rsidP="00000000" w:rsidRDefault="00000000" w:rsidRPr="00000000" w14:paraId="0000000C">
      <w:pPr>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Dự thảo Thông tư sửa đổi các quy định về hoạt động kiểm định kỹ thuật an toàn lao động thuộc thẩm quyền quản lý của Bộ Công Thương</w:t>
      </w:r>
      <w:r w:rsidDel="00000000" w:rsidR="00000000" w:rsidRPr="00000000">
        <w:rPr>
          <w:rtl w:val="0"/>
        </w:rPr>
      </w:r>
    </w:p>
    <w:p w:rsidR="00000000" w:rsidDel="00000000" w:rsidP="00000000" w:rsidRDefault="00000000" w:rsidRPr="00000000" w14:paraId="0000000D">
      <w:pPr>
        <w:widowControl w:val="0"/>
        <w:spacing w:after="240" w:lineRule="auto"/>
        <w:jc w:val="cente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1828800</wp:posOffset>
                </wp:positionH>
                <wp:positionV relativeFrom="paragraph">
                  <wp:posOffset>56515</wp:posOffset>
                </wp:positionV>
                <wp:extent cx="2057400" cy="12700"/>
                <wp:effectExtent b="0" l="0" r="0" t="0"/>
                <wp:wrapNone/>
                <wp:docPr id="4" name=""/>
                <a:graphic>
                  <a:graphicData uri="http://schemas.microsoft.com/office/word/2010/wordprocessingShape">
                    <wps:wsp>
                      <wps:cNvCnPr/>
                      <wps:spPr>
                        <a:xfrm>
                          <a:off x="4317300" y="3780000"/>
                          <a:ext cx="2057400" cy="0"/>
                        </a:xfrm>
                        <a:prstGeom prst="straightConnector1">
                          <a:avLst/>
                        </a:prstGeom>
                        <a:no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1828800</wp:posOffset>
                </wp:positionH>
                <wp:positionV relativeFrom="paragraph">
                  <wp:posOffset>56515</wp:posOffset>
                </wp:positionV>
                <wp:extent cx="2057400"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057400" cy="12700"/>
                        </a:xfrm>
                        <a:prstGeom prst="rect"/>
                        <a:ln/>
                      </pic:spPr>
                    </pic:pic>
                  </a:graphicData>
                </a:graphic>
              </wp:anchor>
            </w:drawing>
          </mc:Fallback>
        </mc:AlternateContent>
      </w:r>
    </w:p>
    <w:p w:rsidR="00000000" w:rsidDel="00000000" w:rsidP="00000000" w:rsidRDefault="00000000" w:rsidRPr="00000000" w14:paraId="0000000E">
      <w:pPr>
        <w:widowControl w:val="0"/>
        <w:spacing w:after="24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Kính gửi: Bộ trưởng Lê Mạnh Hùng</w:t>
      </w:r>
    </w:p>
    <w:p w:rsidR="00000000" w:rsidDel="00000000" w:rsidP="00000000" w:rsidRDefault="00000000" w:rsidRPr="00000000" w14:paraId="0000000F">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quy định của Luật Ban hành văn bản quy phạm pháp luật, Cục Kỹ thuật an toàn và Môi trường công nghiệp (Cục ATMT) kính trình Bộ trưởng dự thảo Thông tư sửa đổi các quy quy định về hoạt động kiểm định kỹ thuật an toàn lao động thuộc thẩm quyền quản lý của Bộ Công Thương như sau: </w:t>
      </w:r>
    </w:p>
    <w:p w:rsidR="00000000" w:rsidDel="00000000" w:rsidP="00000000" w:rsidRDefault="00000000" w:rsidRPr="00000000" w14:paraId="00000010">
      <w:pPr>
        <w:widowControl w:val="0"/>
        <w:spacing w:after="120" w:before="120" w:line="264" w:lineRule="auto"/>
        <w:ind w:firstLine="567"/>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I. SỰ CẦN THIẾT BAN HÀNH VĂN BẢN</w:t>
      </w:r>
      <w:r w:rsidDel="00000000" w:rsidR="00000000" w:rsidRPr="00000000">
        <w:rPr>
          <w:rtl w:val="0"/>
        </w:rPr>
      </w:r>
    </w:p>
    <w:p w:rsidR="00000000" w:rsidDel="00000000" w:rsidP="00000000" w:rsidRDefault="00000000" w:rsidRPr="00000000" w14:paraId="00000011">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Cơ sở chính trị, pháp lý</w:t>
      </w:r>
    </w:p>
    <w:p w:rsidR="00000000" w:rsidDel="00000000" w:rsidP="00000000" w:rsidRDefault="00000000" w:rsidRPr="00000000" w14:paraId="00000012">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trách nhiệm của các bộ quản lý ngành, lĩnh vực về </w:t>
      </w:r>
      <w:r w:rsidDel="00000000" w:rsidR="00000000" w:rsidRPr="00000000">
        <w:rPr>
          <w:rFonts w:ascii="Times New Roman" w:cs="Times New Roman" w:eastAsia="Times New Roman" w:hAnsi="Times New Roman"/>
          <w:color w:val="000000"/>
          <w:highlight w:val="white"/>
          <w:vertAlign w:val="baseline"/>
          <w:rtl w:val="0"/>
        </w:rPr>
        <w:t xml:space="preserve">kiểm định máy, thiết bị, vật tư, chất có yêu cầu nghiêm ngặt về an toàn, vệ sinh lao động đối với đối tượng kiểm định thuộc thẩm quyền quản lý</w:t>
      </w:r>
      <w:r w:rsidDel="00000000" w:rsidR="00000000" w:rsidRPr="00000000">
        <w:rPr>
          <w:rFonts w:ascii="Times New Roman" w:cs="Times New Roman" w:eastAsia="Times New Roman" w:hAnsi="Times New Roman"/>
          <w:vertAlign w:val="baseline"/>
          <w:rtl w:val="0"/>
        </w:rPr>
        <w:t xml:space="preserve"> quy định tại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Bộ Công Thương đã ban hành các quy định về hoạt động kiểm định kỹ thuật an toàn lao động thuộc thẩm quyền quản lý của Bộ Công Thương:</w:t>
      </w:r>
    </w:p>
    <w:p w:rsidR="00000000" w:rsidDel="00000000" w:rsidP="00000000" w:rsidRDefault="00000000" w:rsidRPr="00000000" w14:paraId="00000013">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13/7/2017, Bộ Công Thương ban hành Thông tư số 09/2017/TT-BCT quy định hoạt động kiểm định kỹ thuật an toàn lao động thuộc thẩm quyền quản lý của Bộ Công Thương.</w:t>
      </w:r>
    </w:p>
    <w:p w:rsidR="00000000" w:rsidDel="00000000" w:rsidP="00000000" w:rsidRDefault="00000000" w:rsidRPr="00000000" w14:paraId="00000014">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26/7/2017, Bộ Công Thương ban hành Thông tư số 10/2017/TT-BCT ban hành quy trình kiểm định kỹ thuật an toàn lao động đối với máy, thiết bị, vật tư có yêu cầu nghiêm ngặt về an toàn lao động thuộc thẩm quyền quản lý của Bộ Công Thương.</w:t>
      </w:r>
    </w:p>
    <w:p w:rsidR="00000000" w:rsidDel="00000000" w:rsidP="00000000" w:rsidRDefault="00000000" w:rsidRPr="00000000" w14:paraId="00000015">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25/10/2018, Bộ Công Thương ban hành Thông tư số 37/2018/TT-BCT sửa đổi, bổ sung, bãi bỏ một số quy định về quản lý an toàn và kiểm định kỹ thuật an toàn lao động thuộc thẩm quyền quản lý của Bộ Công Thương;</w:t>
      </w:r>
    </w:p>
    <w:p w:rsidR="00000000" w:rsidDel="00000000" w:rsidP="00000000" w:rsidRDefault="00000000" w:rsidRPr="00000000" w14:paraId="00000016">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18/6/2020, Bộ Công Thương ban hành Thông tư số 12/2020/TT-BCT sửa đổi, bổ sung, bãi bỏ một số điều của Thông tư số 09/2017/TT-BCT và một số quy trình kiểm định ban hành kèm theo Thông tư số 10/2017/TT-BCT ngày 26/7/2017 của Bộ trưởng Bộ Công Thương ban hành quy trình kiểm định kỹ thuật an toàn lao động đối với máy, thiết bị, vật tư có yêu cầu nghiêm ngặt về an toàn lao động thuộc thẩm quyền quản lý của Bộ Công Thương.</w:t>
      </w:r>
    </w:p>
    <w:p w:rsidR="00000000" w:rsidDel="00000000" w:rsidP="00000000" w:rsidRDefault="00000000" w:rsidRPr="00000000" w14:paraId="00000017">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31/10/2023, Bộ Công Thương ban hành Thông tư số 18/2023/TT-BCT sửa đổi, bổ sung và bãi bỏ một số điều của các Thông tư quy định hoạt động kiểm định kỹ thuật an toàn lao động thuộc thẩm quyền quản lý của Bộ Công Thương.</w:t>
      </w:r>
    </w:p>
    <w:p w:rsidR="00000000" w:rsidDel="00000000" w:rsidP="00000000" w:rsidRDefault="00000000" w:rsidRPr="00000000" w14:paraId="00000018">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Thực hiện các quy định việc phân cấp, phân quyền trong lĩnh vực an toàn, vệ sinh lao động:  </w:t>
      </w:r>
    </w:p>
    <w:p w:rsidR="00000000" w:rsidDel="00000000" w:rsidP="00000000" w:rsidRDefault="00000000" w:rsidRPr="00000000" w14:paraId="00000019">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12/6/2025, Chính phủ ban hành Nghị định số 146/2025/NĐ-CP quy định việc phân cấp, phân quyền trong lĩnh vực công nghiệp và thương mại, trong đó khoản 1 Điều 27 quy định </w:t>
      </w:r>
      <w:r w:rsidDel="00000000" w:rsidR="00000000" w:rsidRPr="00000000">
        <w:rPr>
          <w:rFonts w:ascii="Times New Roman" w:cs="Times New Roman" w:eastAsia="Times New Roman" w:hAnsi="Times New Roman"/>
          <w:i w:val="1"/>
          <w:iCs w:val="1"/>
          <w:vertAlign w:val="baseline"/>
          <w:rtl w:val="0"/>
        </w:rPr>
        <w:t xml:space="preserve">“</w:t>
      </w:r>
      <w:bookmarkStart w:colFirst="0" w:colLast="0" w:name="svrmfd3nt5id" w:id="0"/>
      <w:bookmarkEnd w:id="0"/>
      <w:r w:rsidDel="00000000" w:rsidR="00000000" w:rsidRPr="00000000">
        <w:rPr>
          <w:rFonts w:ascii="Times New Roman" w:cs="Times New Roman" w:eastAsia="Times New Roman" w:hAnsi="Times New Roman"/>
          <w:i w:val="1"/>
          <w:iCs w:val="1"/>
          <w:color w:val="000000"/>
          <w:highlight w:val="white"/>
          <w:vertAlign w:val="baseline"/>
          <w:rtl w:val="0"/>
        </w:rPr>
        <w:t xml:space="preserve">1. Nhiệm vụ, quyền hạn của Bộ Công Thương về việc cấp, cấp lại chứng chỉ kiểm định viên thuộc thẩm quyền quản lý ngành, lĩnh vực quy định tại khoản 4 Điều 42 Nghị định số 44/2016/NĐ-CP do Ủy ban nhân dân cấp tỉnh thực hiện</w:t>
      </w:r>
      <w:r w:rsidDel="00000000" w:rsidR="00000000" w:rsidRPr="00000000">
        <w:rPr>
          <w:rFonts w:ascii="Times New Roman" w:cs="Times New Roman" w:eastAsia="Times New Roman" w:hAnsi="Times New Roman"/>
          <w:i w:val="1"/>
          <w:iCs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thay đổi so với quy định tại </w:t>
      </w:r>
      <w:r w:rsidDel="00000000" w:rsidR="00000000" w:rsidRPr="00000000">
        <w:rPr>
          <w:rFonts w:ascii="Times New Roman" w:cs="Times New Roman" w:eastAsia="Times New Roman" w:hAnsi="Times New Roman"/>
          <w:color w:val="000000"/>
          <w:highlight w:val="white"/>
          <w:vertAlign w:val="baseline"/>
          <w:rtl w:val="0"/>
        </w:rPr>
        <w:t xml:space="preserve">Nghị định số 44/2016/NĐ-CP.</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A">
      <w:pPr>
        <w:spacing w:after="120" w:before="120" w:line="264" w:lineRule="auto"/>
        <w:ind w:firstLine="720"/>
        <w:rPr>
          <w:rFonts w:ascii="Times New Roman" w:cs="Times New Roman" w:eastAsia="Times New Roman" w:hAnsi="Times New Roman"/>
          <w:i w:val="0"/>
          <w:iCs w:val="0"/>
          <w:color w:val="000000"/>
          <w:highlight w:val="white"/>
          <w:vertAlign w:val="baseline"/>
        </w:rPr>
      </w:pPr>
      <w:r w:rsidDel="00000000" w:rsidR="00000000" w:rsidRPr="00000000">
        <w:rPr>
          <w:rFonts w:ascii="Times New Roman" w:cs="Times New Roman" w:eastAsia="Times New Roman" w:hAnsi="Times New Roman"/>
          <w:vertAlign w:val="baseline"/>
          <w:rtl w:val="0"/>
        </w:rPr>
        <w:t xml:space="preserve">- Ngày 19/6/2025, Bộ Công Thương ban hành Thông tư số 38/2025/TT-BCT sửa đổi, bổ sung một số quy định về phân cấp thực hiện thủ tục hành chính trong các lĩnh vực thuộc phạm vi quản lý của Bộ Công Thương, trong đó Điều 2 quy định </w:t>
      </w:r>
      <w:r w:rsidDel="00000000" w:rsidR="00000000" w:rsidRPr="00000000">
        <w:rPr>
          <w:rFonts w:ascii="Arial" w:cs="Arial" w:eastAsia="Arial" w:hAnsi="Arial"/>
          <w:color w:val="000000"/>
          <w:sz w:val="20"/>
          <w:szCs w:val="20"/>
          <w:highlight w:val="white"/>
          <w:vertAlign w:val="baseline"/>
          <w:rtl w:val="0"/>
        </w:rPr>
        <w:t xml:space="preserve">“</w:t>
      </w:r>
      <w:r w:rsidDel="00000000" w:rsidR="00000000" w:rsidRPr="00000000">
        <w:rPr>
          <w:rFonts w:ascii="Times New Roman" w:cs="Times New Roman" w:eastAsia="Times New Roman" w:hAnsi="Times New Roman"/>
          <w:i w:val="1"/>
          <w:iCs w:val="1"/>
          <w:color w:val="000000"/>
          <w:highlight w:val="white"/>
          <w:vertAlign w:val="baseline"/>
          <w:rtl w:val="0"/>
        </w:rPr>
        <w:t xml:space="preserve">1. Cục Kỹ thuật an toàn và Môi trường công nghiệp thực hiện cấp, gia hạn, cấp lại, thu hồi giấy chứng nhận đủ điều kiện hoạt động kiểm định kỹ thuật an toàn lao động” </w:t>
      </w:r>
      <w:r w:rsidDel="00000000" w:rsidR="00000000" w:rsidRPr="00000000">
        <w:rPr>
          <w:rFonts w:ascii="Times New Roman" w:cs="Times New Roman" w:eastAsia="Times New Roman" w:hAnsi="Times New Roman"/>
          <w:color w:val="000000"/>
          <w:highlight w:val="white"/>
          <w:vertAlign w:val="baseline"/>
          <w:rtl w:val="0"/>
        </w:rPr>
        <w:t xml:space="preserve">thay đổi so với quy định tại Thông tư số 09/2017/TT-BCT</w:t>
      </w:r>
      <w:r w:rsidDel="00000000" w:rsidR="00000000" w:rsidRPr="00000000">
        <w:rPr>
          <w:rFonts w:ascii="Times New Roman" w:cs="Times New Roman" w:eastAsia="Times New Roman" w:hAnsi="Times New Roman"/>
          <w:i w:val="1"/>
          <w:iCs w:val="1"/>
          <w:color w:val="000000"/>
          <w:highlight w:val="white"/>
          <w:vertAlign w:val="baseline"/>
          <w:rtl w:val="0"/>
        </w:rPr>
        <w:t xml:space="preserve">.</w:t>
      </w:r>
      <w:r w:rsidDel="00000000" w:rsidR="00000000" w:rsidRPr="00000000">
        <w:rPr>
          <w:rtl w:val="0"/>
        </w:rPr>
      </w:r>
    </w:p>
    <w:p w:rsidR="00000000" w:rsidDel="00000000" w:rsidP="00000000" w:rsidRDefault="00000000" w:rsidRPr="00000000" w14:paraId="0000001B">
      <w:pPr>
        <w:spacing w:after="120" w:before="120" w:line="264" w:lineRule="auto"/>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18/5/2026, Chính phủ ban hành Nghị quyết số 66.18/2026/NQ-CP về phân quyền, cắt giảm, đơn giản hoá tủ tục hành chính, điều kiện kinh doanh, Nghị quyết có hiệu lực từ ngày 01/7/2026 đến hết ngày 28/02/2027, trong đó  phân công thẩm quyền cấp, gia hạn, cấp lại, thu hồi Giấy chứng nhận đủ điều kiện hoạt động kiểm định kỹ thuật an toàn lao động của Bộ Công Thương không bao gồm đối tượng kiểm định nhóm A, B, C và D (phân loại theo quy định tại Thông tư số 09/2017/TT-BCT). </w:t>
      </w:r>
    </w:p>
    <w:p w:rsidR="00000000" w:rsidDel="00000000" w:rsidP="00000000" w:rsidRDefault="00000000" w:rsidRPr="00000000" w14:paraId="0000001C">
      <w:pPr>
        <w:widowControl w:val="0"/>
        <w:spacing w:after="120" w:before="120" w:line="264" w:lineRule="auto"/>
        <w:ind w:firstLine="567"/>
        <w:rPr>
          <w:rFonts w:ascii="Times New Roman" w:cs="Times New Roman" w:eastAsia="Times New Roman" w:hAnsi="Times New Roman"/>
          <w:vertAlign w:val="baseline"/>
        </w:rPr>
      </w:pPr>
      <w:bookmarkStart w:colFirst="0" w:colLast="0" w:name="_zfsynx3kcltm" w:id="1"/>
      <w:bookmarkEnd w:id="1"/>
      <w:r w:rsidDel="00000000" w:rsidR="00000000" w:rsidRPr="00000000">
        <w:rPr>
          <w:rFonts w:ascii="Times New Roman" w:cs="Times New Roman" w:eastAsia="Times New Roman" w:hAnsi="Times New Roman"/>
          <w:vertAlign w:val="baseline"/>
          <w:rtl w:val="0"/>
        </w:rPr>
        <w:t xml:space="preserve">2. Cơ sở thực tiễn</w:t>
      </w:r>
    </w:p>
    <w:p w:rsidR="00000000" w:rsidDel="00000000" w:rsidP="00000000" w:rsidRDefault="00000000" w:rsidRPr="00000000" w14:paraId="0000001D">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Để phù hợp theo phân cấp, phân quyền tại Nghị định số 146/2025/NĐ-CP và Thông tư số 38/2025/TT-BCT thì việc xây dựng Thông tư sửa đổi các quy định về hoạt động kiểm định kỹ thuật an toàn lao động thuộc thẩm quyền quản lý của Bộ Công Thương và thực hiện Nghị quyết số 66.18/2026/NQ-CP về phân quyền, cắt giảm, đơn giản hoá tủ tục hành chính, điều kiện kinh doanh.</w:t>
      </w:r>
    </w:p>
    <w:p w:rsidR="00000000" w:rsidDel="00000000" w:rsidP="00000000" w:rsidRDefault="00000000" w:rsidRPr="00000000" w14:paraId="0000001E">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Sau quá trình gần 10 năm thực hiện Thông tư số 09/2017/TT-BCT và các Thông tư sửa đổi, bổ sung Thông tư 09/2017/TT-BCT, một số quy định liên quan đến hoạt động kiểm định có vướng mắc, cần rà soát, xem xét sửa đổi.</w:t>
      </w:r>
    </w:p>
    <w:p w:rsidR="00000000" w:rsidDel="00000000" w:rsidP="00000000" w:rsidRDefault="00000000" w:rsidRPr="00000000" w14:paraId="0000001F">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Cụ thể như sau:</w:t>
      </w:r>
    </w:p>
    <w:p w:rsidR="00000000" w:rsidDel="00000000" w:rsidP="00000000" w:rsidRDefault="00000000" w:rsidRPr="00000000" w14:paraId="00000020">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Quy định về thẩm quyền </w:t>
      </w:r>
      <w:r w:rsidDel="00000000" w:rsidR="00000000" w:rsidRPr="00000000">
        <w:rPr>
          <w:rFonts w:ascii="Times New Roman" w:cs="Times New Roman" w:eastAsia="Times New Roman" w:hAnsi="Times New Roman"/>
          <w:color w:val="000000"/>
          <w:highlight w:val="white"/>
          <w:vertAlign w:val="baseline"/>
          <w:rtl w:val="0"/>
        </w:rPr>
        <w:t xml:space="preserve">thực hiện cấp, gia hạn, cấp lại, thu hồi giấy chứng nhận đủ điều kiện hoạt động kiểm định kỹ thuật an toàn lao động</w:t>
      </w:r>
      <w:r w:rsidDel="00000000" w:rsidR="00000000" w:rsidRPr="00000000">
        <w:rPr>
          <w:rFonts w:ascii="Times New Roman" w:cs="Times New Roman" w:eastAsia="Times New Roman" w:hAnsi="Times New Roman"/>
          <w:vertAlign w:val="baseline"/>
          <w:rtl w:val="0"/>
        </w:rPr>
        <w:t xml:space="preserve"> và cấp, cấp lại Chứng chỉ kiểm định viên.</w:t>
      </w:r>
    </w:p>
    <w:p w:rsidR="00000000" w:rsidDel="00000000" w:rsidP="00000000" w:rsidRDefault="00000000" w:rsidRPr="00000000" w14:paraId="00000021">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Tổ chức huấn luyện, bồi dưỡng kiểm định viên, tổ chức sát hạch kiểm định viên.</w:t>
      </w:r>
    </w:p>
    <w:p w:rsidR="00000000" w:rsidDel="00000000" w:rsidP="00000000" w:rsidRDefault="00000000" w:rsidRPr="00000000" w14:paraId="00000022">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Do vậy, việc ban hành Thông tư để sửa đổi các quy định về hoạt động kiểm định kỹ thuật an toàn lao động thuộc thẩm quyền quản lý của Bộ Công Thương là cần thiết.</w:t>
      </w:r>
    </w:p>
    <w:p w:rsidR="00000000" w:rsidDel="00000000" w:rsidP="00000000" w:rsidRDefault="00000000" w:rsidRPr="00000000" w14:paraId="00000023">
      <w:pPr>
        <w:widowControl w:val="0"/>
        <w:spacing w:after="120" w:before="120" w:line="264" w:lineRule="auto"/>
        <w:ind w:firstLine="567"/>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II. MỤC ĐÍCH BAN HÀNH, QUAN ĐIỂM XÂY DỰNG DỰ THẢO VĂN BẢN</w:t>
      </w:r>
      <w:r w:rsidDel="00000000" w:rsidR="00000000" w:rsidRPr="00000000">
        <w:rPr>
          <w:rtl w:val="0"/>
        </w:rPr>
      </w:r>
    </w:p>
    <w:p w:rsidR="00000000" w:rsidDel="00000000" w:rsidP="00000000" w:rsidRDefault="00000000" w:rsidRPr="00000000" w14:paraId="00000024">
      <w:pPr>
        <w:widowControl w:val="0"/>
        <w:spacing w:after="120" w:before="120" w:line="264" w:lineRule="auto"/>
        <w:ind w:firstLine="567"/>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1. Mục đích ban hành văn bản</w:t>
      </w:r>
      <w:r w:rsidDel="00000000" w:rsidR="00000000" w:rsidRPr="00000000">
        <w:rPr>
          <w:rtl w:val="0"/>
        </w:rPr>
      </w:r>
    </w:p>
    <w:p w:rsidR="00000000" w:rsidDel="00000000" w:rsidP="00000000" w:rsidRDefault="00000000" w:rsidRPr="00000000" w14:paraId="00000025">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Rà soát, bổ sung các quy định hiện hành trong hoạt động kiểm định.</w:t>
      </w:r>
    </w:p>
    <w:p w:rsidR="00000000" w:rsidDel="00000000" w:rsidP="00000000" w:rsidRDefault="00000000" w:rsidRPr="00000000" w14:paraId="00000026">
      <w:pPr>
        <w:spacing w:after="120" w:before="120" w:line="264" w:lineRule="auto"/>
        <w:ind w:firstLine="567"/>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2. Quan điểm xây dựng dự thảo văn bản</w:t>
      </w:r>
      <w:r w:rsidDel="00000000" w:rsidR="00000000" w:rsidRPr="00000000">
        <w:rPr>
          <w:rtl w:val="0"/>
        </w:rPr>
      </w:r>
    </w:p>
    <w:p w:rsidR="00000000" w:rsidDel="00000000" w:rsidP="00000000" w:rsidRDefault="00000000" w:rsidRPr="00000000" w14:paraId="00000027">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Các quy định trong dự thảo Thông tư đảm bảo sự đồng bộ, thống nhất trong hệ thống văn bản pháp luật hiện hành, không chồng chéo, mâu thuẫn với các quy định pháp luật khác.</w:t>
      </w:r>
    </w:p>
    <w:p w:rsidR="00000000" w:rsidDel="00000000" w:rsidP="00000000" w:rsidRDefault="00000000" w:rsidRPr="00000000" w14:paraId="00000028">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Các quy định tại dự thảo Thông tư phải cụ thể, chi tiết, phù hợp thực tiễn, không chồng chéo trong quản lý và tổ chức thực hiện.</w:t>
      </w:r>
    </w:p>
    <w:p w:rsidR="00000000" w:rsidDel="00000000" w:rsidP="00000000" w:rsidRDefault="00000000" w:rsidRPr="00000000" w14:paraId="00000029">
      <w:pPr>
        <w:widowControl w:val="0"/>
        <w:spacing w:after="120" w:before="120" w:line="264" w:lineRule="auto"/>
        <w:ind w:firstLine="567"/>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III. QUÁ TRÌNH XÂY DỰNG DỰ THẢO THÔNG TƯ</w:t>
      </w:r>
      <w:r w:rsidDel="00000000" w:rsidR="00000000" w:rsidRPr="00000000">
        <w:rPr>
          <w:rtl w:val="0"/>
        </w:rPr>
      </w:r>
    </w:p>
    <w:p w:rsidR="00000000" w:rsidDel="00000000" w:rsidP="00000000" w:rsidRDefault="00000000" w:rsidRPr="00000000" w14:paraId="0000002A">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Ngày 24/4/2026, Bộ Công Thương đã ký Quyết định số 992/QĐ-BCT về việc thành lập Tổ soạn thảo Thông tư sửa đổi các quy định về hoạt động kiểm định kỹ thuật an toàn lao động thuộc thẩm quyền quản lý của Bộ Công Thương.  </w:t>
      </w:r>
    </w:p>
    <w:p w:rsidR="00000000" w:rsidDel="00000000" w:rsidP="00000000" w:rsidRDefault="00000000" w:rsidRPr="00000000" w14:paraId="0000002B">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18/5/năm 2026, Tổ soạn thảo đã họp, phân công nhiệm vụ đối với các thành viên để hoàn thiện Dự thảo xin ý kiến góp ý của Thông tư.</w:t>
      </w:r>
    </w:p>
    <w:p w:rsidR="00000000" w:rsidDel="00000000" w:rsidP="00000000" w:rsidRDefault="00000000" w:rsidRPr="00000000" w14:paraId="0000002C">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tháng  năm 2026, Cục ATMT đã có báo cáo số  /BC-ATMT báo cáo Thứ trưởng Trương Thanh Hoài về việc xin phép đăng tải trên Cổng thông tin điện tử Chính phủ, Cổng thông tin điện tử của Bộ Công Thương và gửi xin ý kiến ý kiến tham gia của các tổ chức, cá nhân chịu tác động của Thông tư.</w:t>
      </w:r>
    </w:p>
    <w:p w:rsidR="00000000" w:rsidDel="00000000" w:rsidP="00000000" w:rsidRDefault="00000000" w:rsidRPr="00000000" w14:paraId="0000002D">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tháng  năm 2026, Bộ Công Thương đã có Công văn số  /BCT-ATMT gửi xin ý kiến dự thảo đến một số Bộ, Liên đoàn Thương mại và Công nghiệp Việt Nam, Mặt trận Tổ quốc Việt Nam, Uỷ ban nhân dân các tỉnh, thành phố; một số đơn vị trong Bộ và  đơn vị chịu tác động của dự thảo.</w:t>
      </w:r>
    </w:p>
    <w:p w:rsidR="00000000" w:rsidDel="00000000" w:rsidP="00000000" w:rsidRDefault="00000000" w:rsidRPr="00000000" w14:paraId="0000002E">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tháng  năm 2026, Cục ATMT đã có Công văn số  /ATMT-ATCN gửi Báo Công Thương đăng tải trên cổng thông tin điện tử của Bộ Công Thương Dự thảo Thông tư xin ý kiến dự thảo.</w:t>
      </w:r>
    </w:p>
    <w:p w:rsidR="00000000" w:rsidDel="00000000" w:rsidP="00000000" w:rsidRDefault="00000000" w:rsidRPr="00000000" w14:paraId="0000002F">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Cục ATMT đã nhận được ý kiến góp ý của … Sở Công Thương, … Vụ thuộc Bộ Công Thương, … Tập đoàn, Tổng Công ty, Công ty, Trung tâm. Kết quả tổng hợp:  đơn vị có ý kiến đồng ý hoàn toàn với Dự thảo Thông tư, … đơn vị có ý kiến góp ý để chỉnh sửa nội dung Dự thảo.</w:t>
      </w:r>
    </w:p>
    <w:p w:rsidR="00000000" w:rsidDel="00000000" w:rsidP="00000000" w:rsidRDefault="00000000" w:rsidRPr="00000000" w14:paraId="00000030">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Từ tháng 6/2026 đến tháng  /2026: Hoàn thiện dự thảo.</w:t>
      </w:r>
    </w:p>
    <w:p w:rsidR="00000000" w:rsidDel="00000000" w:rsidP="00000000" w:rsidRDefault="00000000" w:rsidRPr="00000000" w14:paraId="00000031">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Ngày  /  /2026, Tổ soạn thảo đã họp, có ý kiến đối với Dự thảo của Thông tư.</w:t>
      </w:r>
    </w:p>
    <w:p w:rsidR="00000000" w:rsidDel="00000000" w:rsidP="00000000" w:rsidRDefault="00000000" w:rsidRPr="00000000" w14:paraId="00000032">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Trên cơ sở ý kiến đóng góp của các đơn vị, Cục ATMT đã tiến hành họp tổ soạn thảo xem xét và hoàn thiện Dự thảo Thông tư. </w:t>
      </w:r>
    </w:p>
    <w:p w:rsidR="00000000" w:rsidDel="00000000" w:rsidP="00000000" w:rsidRDefault="00000000" w:rsidRPr="00000000" w14:paraId="00000033">
      <w:pPr>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Cục ATMT đã tiếp thu và chỉnh sửa, hoàn thiện Dự thảo Thông tư và hồ sơ theo quy định.</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Ngày  tháng  năm 2026: Cục ATMT đã có Công văn số</w:t>
      </w: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/ATMT-ATCN đề nghị Vụ Pháp chế thẩm định dự thảo Thông tư theo quy định.</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Ngày  tháng  năm 2026: Vụ Pháp chế đã tổ chức thẩm định dự thảo Thông tư và ngày  tháng  năm 2026 Vụ Pháp chế có Báo cáo số /PC-XDPL về kết quả thẩm định dự thảo Thông tư.</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Trên cơ sở báo cáo thẩm định của Vụ Pháp chế, Cục ATMT tiếp thu và giải trình ý kiến thẩm định trong Báo cáo giải trình, tiếp thu ý kiến thẩm định của Vụ Pháp chế đối với dự thảo Thông tư.</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Ngày  tháng  năm 2026: Vụ Pháp chế có Công văn số   /PC-XDPL về việc tổng hợp ý kiến lãnh đạo Bộ đối với dự thảo Thông tư sửa đổi các quy định về hoạt động kiểm định thuộc thẩm quyền quản lý của Bộ Công Thương.</w:t>
      </w:r>
    </w:p>
    <w:p w:rsidR="00000000" w:rsidDel="00000000" w:rsidP="00000000" w:rsidRDefault="00000000" w:rsidRPr="00000000" w14:paraId="00000038">
      <w:pPr>
        <w:widowControl w:val="0"/>
        <w:spacing w:after="120" w:before="120" w:line="264" w:lineRule="auto"/>
        <w:ind w:firstLine="567"/>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IV. BỐ CỤC VÀ NỘI DUNG CƠ BẢN CỦA DỰ THẢO THÔNG TƯ</w:t>
      </w:r>
      <w:r w:rsidDel="00000000" w:rsidR="00000000" w:rsidRPr="00000000">
        <w:rPr>
          <w:rtl w:val="0"/>
        </w:rPr>
      </w:r>
    </w:p>
    <w:p w:rsidR="00000000" w:rsidDel="00000000" w:rsidP="00000000" w:rsidRDefault="00000000" w:rsidRPr="00000000" w14:paraId="00000039">
      <w:pPr>
        <w:widowControl w:val="0"/>
        <w:spacing w:after="120" w:before="120" w:line="264"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Thông tư tư sửa đổi các quy định về hoạt động kiểm định kỹ thuật an toàn lao động thuộc thẩm quyền quản lý của Bộ Công Thương được bố cục thành 03 Điều, gồm: </w:t>
      </w:r>
    </w:p>
    <w:p w:rsidR="00000000" w:rsidDel="00000000" w:rsidP="00000000" w:rsidRDefault="00000000" w:rsidRPr="00000000" w14:paraId="0000003A">
      <w:pPr>
        <w:widowControl w:val="0"/>
        <w:spacing w:after="120" w:before="120" w:line="264" w:lineRule="auto"/>
        <w:ind w:firstLine="567"/>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Điều 1. Sửa đổi, thay thế, bãi bỏ một số điều của Thông tư số 09/2017/TT-BCT. </w:t>
      </w:r>
      <w:r w:rsidDel="00000000" w:rsidR="00000000" w:rsidRPr="00000000">
        <w:rPr>
          <w:rtl w:val="0"/>
        </w:rPr>
      </w:r>
    </w:p>
    <w:p w:rsidR="00000000" w:rsidDel="00000000" w:rsidP="00000000" w:rsidRDefault="00000000" w:rsidRPr="00000000" w14:paraId="0000003B">
      <w:pPr>
        <w:widowControl w:val="0"/>
        <w:spacing w:after="120" w:before="120" w:line="264" w:lineRule="auto"/>
        <w:ind w:firstLine="567"/>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Điều 2. Bãi bỏ một số Quy trình kiểm định của Thông tư số 10/2017/TT-BCT và Thông tư số 22/2024/TT-BCT. </w:t>
      </w:r>
      <w:r w:rsidDel="00000000" w:rsidR="00000000" w:rsidRPr="00000000">
        <w:rPr>
          <w:rtl w:val="0"/>
        </w:rPr>
      </w:r>
    </w:p>
    <w:p w:rsidR="00000000" w:rsidDel="00000000" w:rsidP="00000000" w:rsidRDefault="00000000" w:rsidRPr="00000000" w14:paraId="0000003C">
      <w:pPr>
        <w:widowControl w:val="0"/>
        <w:spacing w:after="120" w:before="120" w:line="264" w:lineRule="auto"/>
        <w:ind w:firstLine="567"/>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Điều 3. Điều khoản thi hành. </w:t>
      </w:r>
      <w:r w:rsidDel="00000000" w:rsidR="00000000" w:rsidRPr="00000000">
        <w:rPr>
          <w:rtl w:val="0"/>
        </w:rPr>
      </w:r>
    </w:p>
    <w:p w:rsidR="00000000" w:rsidDel="00000000" w:rsidP="00000000" w:rsidRDefault="00000000" w:rsidRPr="00000000" w14:paraId="0000003D">
      <w:pPr>
        <w:widowControl w:val="0"/>
        <w:spacing w:after="120" w:before="120" w:line="264" w:lineRule="auto"/>
        <w:ind w:firstLine="567"/>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V. NHỮNG NỘI DUNG MỚI SO VỚI DỰ THẢO THÔNG TƯ GỬI THẨM ĐỊNH (NẾU CÓ)</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quá trình soạn thảo và lấy ý kiến góp ý của các Bộ, ngành, địa phương, Cục ATMT chỉ đạo Tổ soạn thảo nghiêm túc nghiên cứu các ý kiến góp ý để chỉnh sửa, hoàn thiện dự thảo Thông tư. Tổ soạn thảo đã tiến hành tổng hợp đầy đủ các ý kiến góp ý và có văn bản báo cáo giải trình, tiếp thu các ý kiến góp ý. Cho đến nay, về cơ bản hầu hết các ý kiến góp ý, thẩm định đều nhất trí với sự cần thiết ban hành và nội dung quy định trong Dự thảo Thông tư.</w:t>
      </w:r>
    </w:p>
    <w:p w:rsidR="00000000" w:rsidDel="00000000" w:rsidP="00000000" w:rsidRDefault="00000000" w:rsidRPr="00000000" w14:paraId="0000003F">
      <w:pPr>
        <w:widowControl w:val="0"/>
        <w:spacing w:after="120" w:before="120" w:line="264" w:lineRule="auto"/>
        <w:ind w:firstLine="567"/>
        <w:rPr>
          <w:rFonts w:ascii="Times New Roman" w:cs="Times New Roman" w:eastAsia="Times New Roman" w:hAnsi="Times New Roman"/>
          <w:b w:val="0"/>
          <w:bCs w:val="0"/>
          <w:smallCaps w:val="0"/>
          <w:vertAlign w:val="baseline"/>
        </w:rPr>
      </w:pPr>
      <w:r w:rsidDel="00000000" w:rsidR="00000000" w:rsidRPr="00000000">
        <w:rPr>
          <w:rFonts w:ascii="Times New Roman" w:cs="Times New Roman" w:eastAsia="Times New Roman" w:hAnsi="Times New Roman"/>
          <w:b w:val="1"/>
          <w:bCs w:val="1"/>
          <w:smallCaps w:val="1"/>
          <w:vertAlign w:val="baseline"/>
          <w:rtl w:val="0"/>
        </w:rPr>
        <w:t xml:space="preserve">VI. DỰ KIẾN NGUỒN NHÂN LỰC, ĐIỀU KIỆN BẢO ĐẢM CHO VIỆC THI HÀNH VĂN BẢN VÀ THỜI GIAN TRÌNH BAN HÀNH</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Việc bảo đảm thi hành sau khi Thông tư được ban hành không yêu cầu phát sinh về kinh phí, trang thiết bị và cơ sở vật chất đáp ứng yêu cầu của công tác thi hành pháp luật.</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Trên đây là Tờ trình về dự thảo Thông tư tư sửa đổi các quy định về hoạt động kiểm định kỹ thuật an toàn lao động thuộc thẩm quyền quản lý của Bộ Công Thương, Cục ATMT xin kính trình Bộ trưởng Lê Mạnh Hùng xem xét, quyết định./.</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(Xin gửi kèm theo:</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Dự thảo Thông tư tư sửa đổi các quy định về hoạt động kiểm định kỹ thuật an toàn lao động thuộc thẩm quyền quản lý của Bộ Công Thương;</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Báo cáo thẩm định số /PC-XDPL ngày  tháng  năm 2026 của Vụ Pháp chế;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Báo cáo số   /ATMT-ATCN ngày   tháng   năm 2026 của Cục ATMT về việc giải trình, tiếp thu ý kiến thẩm định của Vụ Pháp chế;</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264"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Bản tổng hợp, giải trình, tiếp thu ý kiến của cơ quan, tổ chức, cá nhân và đối tượng chịu sự tác động trực tiếp của dự thảo Thông tư)./.</w:t>
      </w:r>
      <w:r w:rsidDel="00000000" w:rsidR="00000000" w:rsidRPr="00000000">
        <w:rPr>
          <w:rtl w:val="0"/>
        </w:rPr>
      </w:r>
    </w:p>
    <w:tbl>
      <w:tblPr>
        <w:tblStyle w:val="Table2"/>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5112"/>
        <w:tblGridChange w:id="0">
          <w:tblGrid>
            <w:gridCol w:w="3960"/>
            <w:gridCol w:w="511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7">
            <w:pPr>
              <w:pStyle w:val="Heading4"/>
              <w:spacing w:line="264" w:lineRule="auto"/>
              <w:rPr>
                <w:i w:val="0"/>
                <w:iCs w:val="0"/>
                <w:vertAlign w:val="baseline"/>
              </w:rPr>
            </w:pPr>
            <w:r w:rsidDel="00000000" w:rsidR="00000000" w:rsidRPr="00000000">
              <w:rPr>
                <w:b w:val="1"/>
                <w:bCs w:val="1"/>
                <w:i w:val="1"/>
                <w:iCs w:val="1"/>
                <w:sz w:val="24"/>
                <w:szCs w:val="24"/>
                <w:vertAlign w:val="baseline"/>
                <w:rtl w:val="0"/>
              </w:rPr>
              <w:t xml:space="preserve">Nơi nhận:</w:t>
            </w:r>
            <w:r w:rsidDel="00000000" w:rsidR="00000000" w:rsidRPr="00000000">
              <w:rPr>
                <w:b w:val="1"/>
                <w:bCs w:val="1"/>
                <w:i w:val="1"/>
                <w:iCs w:val="1"/>
                <w:sz w:val="26"/>
                <w:szCs w:val="26"/>
                <w:vertAlign w:val="baseline"/>
                <w:rtl w:val="0"/>
              </w:rPr>
              <w:t xml:space="preserve">  </w:t>
            </w:r>
            <w:r w:rsidDel="00000000" w:rsidR="00000000" w:rsidRPr="00000000">
              <w:rPr>
                <w:b w:val="1"/>
                <w:bCs w:val="1"/>
                <w:i w:val="1"/>
                <w:iCs w:val="1"/>
                <w:vertAlign w:val="baseline"/>
                <w:rtl w:val="0"/>
              </w:rPr>
              <w:t xml:space="preserve">                           </w:t>
            </w:r>
            <w:r w:rsidDel="00000000" w:rsidR="00000000" w:rsidRPr="00000000">
              <w:rPr>
                <w:b w:val="1"/>
                <w:bCs w:val="1"/>
                <w:i w:val="1"/>
                <w:iCs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Như trên;</w:t>
            </w:r>
          </w:p>
          <w:p w:rsidR="00000000" w:rsidDel="00000000" w:rsidP="00000000" w:rsidRDefault="00000000" w:rsidRPr="00000000" w14:paraId="0000004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TT Trương Thanh Hoài;</w:t>
            </w:r>
          </w:p>
          <w:p w:rsidR="00000000" w:rsidDel="00000000" w:rsidP="00000000" w:rsidRDefault="00000000" w:rsidRPr="00000000" w14:paraId="0000004A">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Vụ PC;</w:t>
            </w:r>
          </w:p>
          <w:p w:rsidR="00000000" w:rsidDel="00000000" w:rsidP="00000000" w:rsidRDefault="00000000" w:rsidRPr="00000000" w14:paraId="0000004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Lưu: VT, ATCN.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4D">
            <w:pPr>
              <w:pStyle w:val="Heading6"/>
              <w:spacing w:after="0" w:lineRule="auto"/>
              <w:rPr>
                <w:sz w:val="26"/>
                <w:szCs w:val="26"/>
                <w:vertAlign w:val="baseline"/>
              </w:rPr>
            </w:pPr>
            <w:r w:rsidDel="00000000" w:rsidR="00000000" w:rsidRPr="00000000">
              <w:rPr>
                <w:b w:val="1"/>
                <w:bCs w:val="1"/>
                <w:sz w:val="26"/>
                <w:szCs w:val="26"/>
                <w:vertAlign w:val="baseline"/>
                <w:rtl w:val="0"/>
              </w:rPr>
              <w:t xml:space="preserve">CỤC TRƯỞNG</w:t>
            </w: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b w:val="0"/>
                <w:bCs w:val="0"/>
                <w:sz w:val="30"/>
                <w:szCs w:val="30"/>
                <w:vertAlign w:val="baseline"/>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b w:val="0"/>
                <w:bCs w:val="0"/>
                <w:sz w:val="30"/>
                <w:szCs w:val="30"/>
                <w:vertAlign w:val="baseline"/>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b w:val="0"/>
                <w:bCs w:val="0"/>
                <w:sz w:val="30"/>
                <w:szCs w:val="30"/>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Phạm Tuấn Anh</w:t>
            </w:r>
            <w:r w:rsidDel="00000000" w:rsidR="00000000" w:rsidRPr="00000000">
              <w:rPr>
                <w:rtl w:val="0"/>
              </w:rPr>
            </w:r>
          </w:p>
        </w:tc>
      </w:tr>
    </w:tbl>
    <w:p w:rsidR="00000000" w:rsidDel="00000000" w:rsidP="00000000" w:rsidRDefault="00000000" w:rsidRPr="00000000" w14:paraId="00000055">
      <w:pPr>
        <w:widowControl w:val="0"/>
        <w:spacing w:after="240" w:before="240" w:lineRule="auto"/>
        <w:jc w:val="center"/>
        <w:rPr>
          <w:rFonts w:ascii="Times New Roman" w:cs="Times New Roman" w:eastAsia="Times New Roman" w:hAnsi="Times New Roman"/>
          <w:vertAlign w:val="baseline"/>
        </w:rPr>
      </w:pPr>
      <w:r w:rsidDel="00000000" w:rsidR="00000000" w:rsidRPr="00000000">
        <w:rPr>
          <w:rtl w:val="0"/>
        </w:rPr>
      </w:r>
    </w:p>
    <w:sectPr>
      <w:headerReference r:id="rId7" w:type="default"/>
      <w:pgSz w:h="16838" w:w="11906" w:orient="portrait"/>
      <w:pgMar w:bottom="964" w:top="964" w:left="1701"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Times New Roman" w:cs="Times New Roman" w:eastAsia="Times New Roman" w:hAnsi="Times New Roman"/>
      <w:b w:val="1"/>
      <w:bCs w:val="1"/>
      <w:sz w:val="24"/>
      <w:szCs w:val="24"/>
      <w:vertAlign w:val="baseline"/>
    </w:rPr>
  </w:style>
  <w:style w:type="paragraph" w:styleId="Heading2">
    <w:name w:val="heading 2"/>
    <w:basedOn w:val="Normal"/>
    <w:next w:val="Normal"/>
    <w:pPr>
      <w:keepNext w:val="1"/>
      <w:jc w:val="center"/>
    </w:pPr>
    <w:rPr>
      <w:rFonts w:ascii="Times New Roman" w:cs="Times New Roman" w:eastAsia="Times New Roman" w:hAnsi="Times New Roman"/>
      <w:b w:val="1"/>
      <w:bCs w:val="1"/>
      <w:sz w:val="26"/>
      <w:szCs w:val="26"/>
      <w:vertAlign w:val="baseline"/>
    </w:rPr>
  </w:style>
  <w:style w:type="paragraph" w:styleId="Heading3">
    <w:name w:val="heading 3"/>
    <w:basedOn w:val="Normal"/>
    <w:next w:val="Normal"/>
    <w:pPr>
      <w:keepNext w:val="1"/>
      <w:jc w:val="center"/>
    </w:pPr>
    <w:rPr>
      <w:rFonts w:ascii="Times New Roman" w:cs="Times New Roman" w:eastAsia="Times New Roman" w:hAnsi="Times New Roman"/>
      <w:i w:val="1"/>
      <w:iCs w:val="1"/>
      <w:sz w:val="28"/>
      <w:szCs w:val="28"/>
      <w:vertAlign w:val="baseline"/>
    </w:rPr>
  </w:style>
  <w:style w:type="paragraph" w:styleId="Heading4">
    <w:name w:val="heading 4"/>
    <w:basedOn w:val="Normal"/>
    <w:next w:val="Normal"/>
    <w:pPr>
      <w:keepNext w:val="1"/>
      <w:jc w:val="both"/>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keepNext w:val="1"/>
      <w:spacing w:after="60" w:lineRule="auto"/>
      <w:jc w:val="left"/>
    </w:pPr>
    <w:rPr>
      <w:rFonts w:ascii="Times New Roman" w:cs="Times New Roman" w:eastAsia="Times New Roman" w:hAnsi="Times New Roman"/>
      <w:b w:val="1"/>
      <w:bCs w:val="1"/>
      <w:sz w:val="28"/>
      <w:szCs w:val="28"/>
      <w:vertAlign w:val="baseline"/>
    </w:rPr>
  </w:style>
  <w:style w:type="paragraph" w:styleId="Heading6">
    <w:name w:val="heading 6"/>
    <w:basedOn w:val="Normal"/>
    <w:next w:val="Normal"/>
    <w:pPr>
      <w:keepNext w:val="1"/>
      <w:spacing w:after="60" w:lineRule="auto"/>
      <w:jc w:val="center"/>
    </w:pPr>
    <w:rPr>
      <w:rFonts w:ascii="Times New Roman" w:cs="Times New Roman" w:eastAsia="Times New Roman" w:hAnsi="Times New Roman"/>
      <w:b w:val="1"/>
      <w:bCs w:val="1"/>
      <w:sz w:val="28"/>
      <w:szCs w:val="28"/>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