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42" w:type="dxa"/>
        <w:tblLayout w:type="fixed"/>
        <w:tblLook w:val="04A0" w:firstRow="1" w:lastRow="0" w:firstColumn="1" w:lastColumn="0" w:noHBand="0" w:noVBand="1"/>
      </w:tblPr>
      <w:tblGrid>
        <w:gridCol w:w="3970"/>
        <w:gridCol w:w="5386"/>
      </w:tblGrid>
      <w:tr w:rsidR="00576605" w14:paraId="07B9045F" w14:textId="77777777" w:rsidTr="000840E5">
        <w:tc>
          <w:tcPr>
            <w:tcW w:w="3970" w:type="dxa"/>
            <w:hideMark/>
          </w:tcPr>
          <w:p w14:paraId="287AE3CE" w14:textId="13F24346" w:rsidR="00576605" w:rsidRDefault="00576605" w:rsidP="006B56F6">
            <w:pPr>
              <w:spacing w:line="276" w:lineRule="auto"/>
              <w:ind w:right="-249"/>
              <w:jc w:val="center"/>
              <w:rPr>
                <w:szCs w:val="28"/>
              </w:rPr>
            </w:pPr>
            <w:r>
              <w:rPr>
                <w:sz w:val="26"/>
                <w:szCs w:val="28"/>
              </w:rPr>
              <w:t>BỘ CÔNG THƯƠNG</w:t>
            </w:r>
          </w:p>
          <w:p w14:paraId="0428884D" w14:textId="2201AB38" w:rsidR="006B56F6" w:rsidRDefault="006B56F6" w:rsidP="003E5F64">
            <w:pPr>
              <w:ind w:right="-391"/>
              <w:jc w:val="center"/>
              <w:rPr>
                <w:b/>
                <w:spacing w:val="-10"/>
                <w:sz w:val="26"/>
                <w:szCs w:val="22"/>
              </w:rPr>
            </w:pPr>
            <w:r>
              <w:rPr>
                <w:b/>
                <w:spacing w:val="-10"/>
                <w:sz w:val="26"/>
                <w:szCs w:val="22"/>
              </w:rPr>
              <w:t>CỤC ĐỔI MỚI SÁNG TẠO,</w:t>
            </w:r>
          </w:p>
          <w:p w14:paraId="07E92F55" w14:textId="77777777" w:rsidR="00D846B4" w:rsidRDefault="006B56F6" w:rsidP="003E5F64">
            <w:pPr>
              <w:ind w:right="-391"/>
              <w:jc w:val="center"/>
              <w:rPr>
                <w:b/>
                <w:spacing w:val="-10"/>
                <w:sz w:val="26"/>
                <w:szCs w:val="22"/>
              </w:rPr>
            </w:pPr>
            <w:r>
              <w:rPr>
                <w:b/>
                <w:spacing w:val="-10"/>
                <w:sz w:val="26"/>
                <w:szCs w:val="22"/>
              </w:rPr>
              <w:t>CHUYỂN ĐỔI XANH</w:t>
            </w:r>
          </w:p>
          <w:p w14:paraId="0D8229E9" w14:textId="51F6E62D" w:rsidR="00576605" w:rsidRDefault="006B56F6" w:rsidP="003E5F64">
            <w:pPr>
              <w:ind w:right="-391"/>
              <w:jc w:val="center"/>
              <w:rPr>
                <w:b/>
                <w:spacing w:val="-10"/>
                <w:sz w:val="22"/>
              </w:rPr>
            </w:pPr>
            <w:r>
              <w:rPr>
                <w:b/>
                <w:spacing w:val="-10"/>
                <w:sz w:val="26"/>
                <w:szCs w:val="22"/>
              </w:rPr>
              <w:t xml:space="preserve"> VÀ KHUYẾN CÔNG</w:t>
            </w:r>
          </w:p>
          <w:p w14:paraId="558E7B7A" w14:textId="6828F504" w:rsidR="00576605" w:rsidRDefault="00F77339">
            <w:pPr>
              <w:tabs>
                <w:tab w:val="left" w:pos="3436"/>
              </w:tabs>
              <w:spacing w:line="276" w:lineRule="auto"/>
              <w:jc w:val="center"/>
              <w:rPr>
                <w:b/>
                <w:sz w:val="20"/>
              </w:rPr>
            </w:pPr>
            <w:r>
              <w:rPr>
                <w:noProof/>
              </w:rPr>
              <mc:AlternateContent>
                <mc:Choice Requires="wps">
                  <w:drawing>
                    <wp:anchor distT="0" distB="0" distL="114300" distR="114300" simplePos="0" relativeHeight="251657216" behindDoc="0" locked="0" layoutInCell="1" allowOverlap="1" wp14:anchorId="55EF35CD" wp14:editId="1DF44C0D">
                      <wp:simplePos x="0" y="0"/>
                      <wp:positionH relativeFrom="column">
                        <wp:posOffset>723900</wp:posOffset>
                      </wp:positionH>
                      <wp:positionV relativeFrom="paragraph">
                        <wp:posOffset>61595</wp:posOffset>
                      </wp:positionV>
                      <wp:extent cx="1118870" cy="0"/>
                      <wp:effectExtent l="13335" t="6985" r="1079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4D9B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85pt" to="145.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Grw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"/>
                  </w:pict>
                </mc:Fallback>
              </mc:AlternateContent>
            </w:r>
          </w:p>
        </w:tc>
        <w:tc>
          <w:tcPr>
            <w:tcW w:w="5386" w:type="dxa"/>
            <w:hideMark/>
          </w:tcPr>
          <w:p w14:paraId="5623DB20" w14:textId="570E4A1F" w:rsidR="00576605" w:rsidRDefault="00576605">
            <w:pPr>
              <w:spacing w:line="276" w:lineRule="auto"/>
              <w:rPr>
                <w:b/>
                <w:spacing w:val="-8"/>
                <w:sz w:val="26"/>
                <w:szCs w:val="26"/>
              </w:rPr>
            </w:pPr>
            <w:r>
              <w:rPr>
                <w:b/>
                <w:spacing w:val="-8"/>
                <w:sz w:val="26"/>
                <w:szCs w:val="26"/>
              </w:rPr>
              <w:t>CỘNG HOÀ XÃ HỘI CHỦ NGHĨA VIỆT NAM</w:t>
            </w:r>
          </w:p>
          <w:p w14:paraId="389A325E" w14:textId="6B654A0C" w:rsidR="00576605" w:rsidRDefault="00576605">
            <w:pPr>
              <w:spacing w:line="276" w:lineRule="auto"/>
              <w:jc w:val="center"/>
              <w:rPr>
                <w:b/>
                <w:sz w:val="26"/>
              </w:rPr>
            </w:pPr>
            <w:r>
              <w:rPr>
                <w:b/>
                <w:sz w:val="26"/>
              </w:rPr>
              <w:t>Độc lập - Tự do - Hạnh phúc</w:t>
            </w:r>
          </w:p>
          <w:p w14:paraId="0E8B0E87" w14:textId="29186EF1" w:rsidR="00576605" w:rsidRDefault="00DA2243">
            <w:pPr>
              <w:spacing w:line="276" w:lineRule="auto"/>
              <w:jc w:val="center"/>
              <w:rPr>
                <w:sz w:val="20"/>
              </w:rPr>
            </w:pPr>
            <w:r>
              <w:rPr>
                <w:noProof/>
              </w:rPr>
              <mc:AlternateContent>
                <mc:Choice Requires="wps">
                  <w:drawing>
                    <wp:anchor distT="0" distB="0" distL="114300" distR="114300" simplePos="0" relativeHeight="251659264" behindDoc="0" locked="0" layoutInCell="1" allowOverlap="1" wp14:anchorId="4156B192" wp14:editId="0E8D1F3E">
                      <wp:simplePos x="0" y="0"/>
                      <wp:positionH relativeFrom="column">
                        <wp:posOffset>641350</wp:posOffset>
                      </wp:positionH>
                      <wp:positionV relativeFrom="paragraph">
                        <wp:posOffset>74930</wp:posOffset>
                      </wp:positionV>
                      <wp:extent cx="198691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5341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9pt" to="20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"/>
                  </w:pict>
                </mc:Fallback>
              </mc:AlternateContent>
            </w:r>
          </w:p>
        </w:tc>
      </w:tr>
      <w:tr w:rsidR="00576605" w14:paraId="775899CA" w14:textId="77777777" w:rsidTr="000840E5">
        <w:tc>
          <w:tcPr>
            <w:tcW w:w="3970" w:type="dxa"/>
            <w:hideMark/>
          </w:tcPr>
          <w:p w14:paraId="5FE9743F" w14:textId="4230E955" w:rsidR="00576605" w:rsidRDefault="00576605" w:rsidP="000D7891">
            <w:pPr>
              <w:spacing w:before="240" w:line="276" w:lineRule="auto"/>
              <w:jc w:val="both"/>
              <w:rPr>
                <w:b/>
                <w:szCs w:val="28"/>
              </w:rPr>
            </w:pPr>
            <w:r>
              <w:rPr>
                <w:i/>
                <w:sz w:val="18"/>
                <w:szCs w:val="18"/>
              </w:rPr>
              <w:t xml:space="preserve">            </w:t>
            </w:r>
            <w:r w:rsidR="00415FD2">
              <w:rPr>
                <w:sz w:val="28"/>
                <w:szCs w:val="28"/>
              </w:rPr>
              <w:t>Số:</w:t>
            </w:r>
            <w:r>
              <w:rPr>
                <w:sz w:val="28"/>
                <w:szCs w:val="28"/>
              </w:rPr>
              <w:t xml:space="preserve"> </w:t>
            </w:r>
            <w:r w:rsidR="00636B30">
              <w:rPr>
                <w:sz w:val="28"/>
                <w:szCs w:val="28"/>
              </w:rPr>
              <w:t xml:space="preserve">    </w:t>
            </w:r>
            <w:r w:rsidR="00FD4529">
              <w:rPr>
                <w:sz w:val="28"/>
                <w:szCs w:val="28"/>
              </w:rPr>
              <w:t xml:space="preserve"> </w:t>
            </w:r>
            <w:r w:rsidR="00F578FD">
              <w:rPr>
                <w:sz w:val="28"/>
                <w:szCs w:val="28"/>
              </w:rPr>
              <w:t xml:space="preserve">  </w:t>
            </w:r>
            <w:r w:rsidR="00B11DCA">
              <w:rPr>
                <w:sz w:val="28"/>
                <w:szCs w:val="28"/>
              </w:rPr>
              <w:t xml:space="preserve"> </w:t>
            </w:r>
            <w:r w:rsidR="00F578FD">
              <w:rPr>
                <w:sz w:val="28"/>
                <w:szCs w:val="28"/>
              </w:rPr>
              <w:t xml:space="preserve">  </w:t>
            </w:r>
            <w:r w:rsidR="00636B30">
              <w:rPr>
                <w:sz w:val="28"/>
                <w:szCs w:val="28"/>
              </w:rPr>
              <w:t xml:space="preserve">    </w:t>
            </w:r>
            <w:r w:rsidR="00415FD2">
              <w:rPr>
                <w:sz w:val="28"/>
                <w:szCs w:val="28"/>
              </w:rPr>
              <w:t xml:space="preserve"> </w:t>
            </w:r>
            <w:r>
              <w:rPr>
                <w:sz w:val="28"/>
                <w:szCs w:val="28"/>
              </w:rPr>
              <w:t>/</w:t>
            </w:r>
            <w:r w:rsidR="002016FE">
              <w:rPr>
                <w:sz w:val="28"/>
                <w:szCs w:val="28"/>
              </w:rPr>
              <w:t>ĐCK</w:t>
            </w:r>
            <w:r w:rsidR="00D846B4">
              <w:rPr>
                <w:sz w:val="28"/>
                <w:szCs w:val="28"/>
              </w:rPr>
              <w:t>-</w:t>
            </w:r>
            <w:r w:rsidR="000D7891">
              <w:rPr>
                <w:sz w:val="28"/>
                <w:szCs w:val="28"/>
              </w:rPr>
              <w:t>VP</w:t>
            </w:r>
          </w:p>
        </w:tc>
        <w:tc>
          <w:tcPr>
            <w:tcW w:w="5386" w:type="dxa"/>
            <w:hideMark/>
          </w:tcPr>
          <w:p w14:paraId="1A1D7685" w14:textId="1C65D74F" w:rsidR="00576605" w:rsidRDefault="00576605" w:rsidP="003E5F64">
            <w:pPr>
              <w:spacing w:before="120" w:line="276" w:lineRule="auto"/>
              <w:jc w:val="center"/>
              <w:rPr>
                <w:b/>
                <w:szCs w:val="28"/>
              </w:rPr>
            </w:pPr>
            <w:r>
              <w:rPr>
                <w:i/>
                <w:sz w:val="28"/>
                <w:szCs w:val="28"/>
              </w:rPr>
              <w:t xml:space="preserve"> Hà Nội, ngày </w:t>
            </w:r>
            <w:r w:rsidR="00926DBF">
              <w:rPr>
                <w:i/>
                <w:sz w:val="28"/>
                <w:szCs w:val="28"/>
              </w:rPr>
              <w:t xml:space="preserve">     </w:t>
            </w:r>
            <w:r>
              <w:rPr>
                <w:i/>
                <w:sz w:val="28"/>
                <w:szCs w:val="28"/>
              </w:rPr>
              <w:t xml:space="preserve"> tháng </w:t>
            </w:r>
            <w:r w:rsidR="00B05A56">
              <w:rPr>
                <w:i/>
                <w:sz w:val="28"/>
                <w:szCs w:val="28"/>
              </w:rPr>
              <w:t>4</w:t>
            </w:r>
            <w:r w:rsidR="009E6016">
              <w:rPr>
                <w:i/>
                <w:sz w:val="28"/>
                <w:szCs w:val="28"/>
              </w:rPr>
              <w:t xml:space="preserve"> </w:t>
            </w:r>
            <w:r>
              <w:rPr>
                <w:i/>
                <w:sz w:val="28"/>
                <w:szCs w:val="28"/>
              </w:rPr>
              <w:t>năm 20</w:t>
            </w:r>
            <w:r w:rsidR="00C003FC">
              <w:rPr>
                <w:i/>
                <w:sz w:val="28"/>
                <w:szCs w:val="28"/>
              </w:rPr>
              <w:t>2</w:t>
            </w:r>
            <w:r w:rsidR="00D846B4">
              <w:rPr>
                <w:i/>
                <w:sz w:val="28"/>
                <w:szCs w:val="28"/>
              </w:rPr>
              <w:t>6</w:t>
            </w:r>
          </w:p>
        </w:tc>
      </w:tr>
      <w:tr w:rsidR="00576605" w14:paraId="1F82E8CC" w14:textId="77777777" w:rsidTr="000840E5">
        <w:trPr>
          <w:trHeight w:val="1252"/>
        </w:trPr>
        <w:tc>
          <w:tcPr>
            <w:tcW w:w="3970" w:type="dxa"/>
            <w:hideMark/>
          </w:tcPr>
          <w:p w14:paraId="1D10D38B" w14:textId="67F39409" w:rsidR="00576605" w:rsidRDefault="00576605" w:rsidP="00A269CF">
            <w:pPr>
              <w:spacing w:before="120"/>
              <w:jc w:val="center"/>
              <w:rPr>
                <w:spacing w:val="-8"/>
                <w:sz w:val="22"/>
              </w:rPr>
            </w:pPr>
            <w:r w:rsidRPr="000840E5">
              <w:rPr>
                <w:sz w:val="20"/>
              </w:rPr>
              <w:t>V/v</w:t>
            </w:r>
            <w:r w:rsidR="00A83FEF" w:rsidRPr="000840E5">
              <w:rPr>
                <w:sz w:val="20"/>
              </w:rPr>
              <w:t xml:space="preserve"> </w:t>
            </w:r>
            <w:r w:rsidR="00F77339" w:rsidRPr="000840E5">
              <w:rPr>
                <w:sz w:val="22"/>
                <w:szCs w:val="22"/>
              </w:rPr>
              <w:t>thực hiện kết luận của đồng chí Tổng Bí thư, Chủ tịch nước Tô Lâm, Trưởng Ban Chỉ đạo Nghị quyết số 57-NQ/TW</w:t>
            </w:r>
          </w:p>
        </w:tc>
        <w:tc>
          <w:tcPr>
            <w:tcW w:w="5386" w:type="dxa"/>
          </w:tcPr>
          <w:p w14:paraId="29904A66" w14:textId="77777777" w:rsidR="00576605" w:rsidRDefault="00576605" w:rsidP="00F578FD">
            <w:pPr>
              <w:spacing w:line="276" w:lineRule="auto"/>
              <w:rPr>
                <w:b/>
                <w:szCs w:val="28"/>
              </w:rPr>
            </w:pPr>
          </w:p>
        </w:tc>
      </w:tr>
    </w:tbl>
    <w:p w14:paraId="3E61C14E" w14:textId="436B06BE" w:rsidR="003C6BE9" w:rsidRDefault="00D846B4" w:rsidP="00137947">
      <w:pPr>
        <w:spacing w:line="360" w:lineRule="exact"/>
        <w:ind w:left="720"/>
        <w:rPr>
          <w:sz w:val="28"/>
          <w:szCs w:val="28"/>
        </w:rPr>
      </w:pPr>
      <w:r>
        <w:rPr>
          <w:sz w:val="28"/>
          <w:szCs w:val="28"/>
        </w:rPr>
        <w:t xml:space="preserve"> </w:t>
      </w:r>
      <w:r w:rsidR="00F77339">
        <w:rPr>
          <w:sz w:val="28"/>
          <w:szCs w:val="28"/>
        </w:rPr>
        <w:tab/>
      </w:r>
      <w:r>
        <w:rPr>
          <w:sz w:val="28"/>
          <w:szCs w:val="28"/>
        </w:rPr>
        <w:t xml:space="preserve"> </w:t>
      </w:r>
      <w:r w:rsidR="00EB5D87" w:rsidRPr="00BC7862">
        <w:rPr>
          <w:sz w:val="28"/>
          <w:szCs w:val="28"/>
        </w:rPr>
        <w:t>K</w:t>
      </w:r>
      <w:r w:rsidR="00576605" w:rsidRPr="00BC7862">
        <w:rPr>
          <w:sz w:val="28"/>
          <w:szCs w:val="28"/>
        </w:rPr>
        <w:t xml:space="preserve">ính gửi: </w:t>
      </w:r>
      <w:r w:rsidR="00090A4C">
        <w:rPr>
          <w:sz w:val="28"/>
          <w:szCs w:val="28"/>
        </w:rPr>
        <w:t xml:space="preserve"> </w:t>
      </w:r>
    </w:p>
    <w:p w14:paraId="36241645" w14:textId="753EF7D6" w:rsidR="00F77339" w:rsidRDefault="00F77339" w:rsidP="00137947">
      <w:pPr>
        <w:spacing w:line="360" w:lineRule="exact"/>
        <w:ind w:left="720"/>
        <w:rPr>
          <w:sz w:val="28"/>
          <w:szCs w:val="28"/>
        </w:rPr>
      </w:pPr>
      <w:r>
        <w:rPr>
          <w:sz w:val="28"/>
          <w:szCs w:val="28"/>
        </w:rPr>
        <w:tab/>
      </w:r>
      <w:r>
        <w:rPr>
          <w:sz w:val="28"/>
          <w:szCs w:val="28"/>
        </w:rPr>
        <w:tab/>
      </w:r>
      <w:r>
        <w:rPr>
          <w:sz w:val="28"/>
          <w:szCs w:val="28"/>
        </w:rPr>
        <w:tab/>
        <w:t xml:space="preserve">- </w:t>
      </w:r>
      <w:r w:rsidR="003D6D92">
        <w:rPr>
          <w:sz w:val="28"/>
          <w:szCs w:val="28"/>
        </w:rPr>
        <w:t>Vụ Pháp chế;</w:t>
      </w:r>
    </w:p>
    <w:p w14:paraId="77612ED8" w14:textId="78D8F036" w:rsidR="005E3181" w:rsidRDefault="005E3181" w:rsidP="00137947">
      <w:pPr>
        <w:spacing w:line="360" w:lineRule="exact"/>
        <w:ind w:left="720"/>
        <w:rPr>
          <w:sz w:val="28"/>
          <w:szCs w:val="28"/>
        </w:rPr>
      </w:pPr>
      <w:r>
        <w:rPr>
          <w:sz w:val="28"/>
          <w:szCs w:val="28"/>
        </w:rPr>
        <w:tab/>
      </w:r>
      <w:r>
        <w:rPr>
          <w:sz w:val="28"/>
          <w:szCs w:val="28"/>
        </w:rPr>
        <w:tab/>
      </w:r>
      <w:r>
        <w:rPr>
          <w:sz w:val="28"/>
          <w:szCs w:val="28"/>
        </w:rPr>
        <w:tab/>
        <w:t xml:space="preserve">- </w:t>
      </w:r>
      <w:r w:rsidR="00407258">
        <w:rPr>
          <w:sz w:val="28"/>
          <w:szCs w:val="28"/>
        </w:rPr>
        <w:t>Báo</w:t>
      </w:r>
      <w:r w:rsidR="003D6D92">
        <w:rPr>
          <w:sz w:val="28"/>
          <w:szCs w:val="28"/>
        </w:rPr>
        <w:t xml:space="preserve"> Công Thương;</w:t>
      </w:r>
    </w:p>
    <w:p w14:paraId="27BDA278" w14:textId="0BB6D5CA" w:rsidR="00F77339" w:rsidRDefault="00F77339" w:rsidP="00137947">
      <w:pPr>
        <w:spacing w:line="360" w:lineRule="exact"/>
        <w:ind w:left="720"/>
        <w:rPr>
          <w:sz w:val="28"/>
          <w:szCs w:val="28"/>
        </w:rPr>
      </w:pPr>
      <w:r>
        <w:rPr>
          <w:sz w:val="28"/>
          <w:szCs w:val="28"/>
        </w:rPr>
        <w:tab/>
      </w:r>
      <w:r>
        <w:rPr>
          <w:sz w:val="28"/>
          <w:szCs w:val="28"/>
        </w:rPr>
        <w:tab/>
      </w:r>
      <w:r>
        <w:rPr>
          <w:sz w:val="28"/>
          <w:szCs w:val="28"/>
        </w:rPr>
        <w:tab/>
      </w:r>
    </w:p>
    <w:p w14:paraId="0E760EF9" w14:textId="7E35D313" w:rsidR="00C53D3B" w:rsidRDefault="00AB1FD7" w:rsidP="005869B5">
      <w:pPr>
        <w:ind w:firstLine="720"/>
        <w:jc w:val="both"/>
        <w:rPr>
          <w:iCs/>
          <w:sz w:val="28"/>
          <w:szCs w:val="28"/>
        </w:rPr>
      </w:pPr>
      <w:r>
        <w:rPr>
          <w:iCs/>
          <w:sz w:val="28"/>
          <w:szCs w:val="28"/>
        </w:rPr>
        <w:t xml:space="preserve">Thực hiện chỉ đạo của Lãnh đạo Bộ </w:t>
      </w:r>
      <w:r w:rsidR="00137947">
        <w:rPr>
          <w:iCs/>
          <w:sz w:val="28"/>
          <w:szCs w:val="28"/>
        </w:rPr>
        <w:t xml:space="preserve">giao </w:t>
      </w:r>
      <w:r>
        <w:rPr>
          <w:iCs/>
          <w:sz w:val="28"/>
          <w:szCs w:val="28"/>
        </w:rPr>
        <w:t>đầu mối chủ trì xử lý Công văn số 264</w:t>
      </w:r>
      <w:r w:rsidR="005869B5">
        <w:rPr>
          <w:iCs/>
          <w:sz w:val="28"/>
          <w:szCs w:val="28"/>
        </w:rPr>
        <w:t>0/BTP-KTVB&amp;TCTHPL ngày 22/4/</w:t>
      </w:r>
      <w:r>
        <w:rPr>
          <w:iCs/>
          <w:sz w:val="28"/>
          <w:szCs w:val="28"/>
        </w:rPr>
        <w:t xml:space="preserve">2026 </w:t>
      </w:r>
      <w:r w:rsidR="00137947">
        <w:rPr>
          <w:iCs/>
          <w:sz w:val="28"/>
          <w:szCs w:val="28"/>
        </w:rPr>
        <w:t>của Bộ Tư pháp về việc</w:t>
      </w:r>
      <w:r>
        <w:rPr>
          <w:iCs/>
          <w:sz w:val="28"/>
          <w:szCs w:val="28"/>
        </w:rPr>
        <w:t xml:space="preserve"> thực hiện kết luận của đồng chí Tổng Bí thư, Chủ tịch nước Tô Lâm, Trưởng Ban Chỉ đạo Nghị quyết số 57-NQ/TW, sau khi rà soát </w:t>
      </w:r>
      <w:r w:rsidR="003D6D92">
        <w:rPr>
          <w:iCs/>
          <w:sz w:val="28"/>
          <w:szCs w:val="28"/>
        </w:rPr>
        <w:t xml:space="preserve">các nội dung </w:t>
      </w:r>
      <w:r w:rsidR="005869B5">
        <w:rPr>
          <w:iCs/>
          <w:sz w:val="28"/>
          <w:szCs w:val="28"/>
        </w:rPr>
        <w:t>kèm theo</w:t>
      </w:r>
      <w:r>
        <w:rPr>
          <w:iCs/>
          <w:sz w:val="28"/>
          <w:szCs w:val="28"/>
        </w:rPr>
        <w:t xml:space="preserve">, </w:t>
      </w:r>
      <w:r w:rsidR="00A24727">
        <w:rPr>
          <w:iCs/>
          <w:sz w:val="28"/>
          <w:szCs w:val="28"/>
        </w:rPr>
        <w:t>Cục Đổi mới sáng tạo, Chuyển đổi xanh và Khuyến công</w:t>
      </w:r>
      <w:r w:rsidR="00D546D1">
        <w:rPr>
          <w:iCs/>
          <w:sz w:val="28"/>
          <w:szCs w:val="28"/>
        </w:rPr>
        <w:t xml:space="preserve"> (Cục ĐCK)</w:t>
      </w:r>
      <w:r w:rsidR="00A24727">
        <w:rPr>
          <w:iCs/>
          <w:sz w:val="28"/>
          <w:szCs w:val="28"/>
        </w:rPr>
        <w:t xml:space="preserve"> </w:t>
      </w:r>
      <w:r>
        <w:rPr>
          <w:iCs/>
          <w:sz w:val="28"/>
          <w:szCs w:val="28"/>
        </w:rPr>
        <w:t xml:space="preserve">gửi </w:t>
      </w:r>
      <w:r w:rsidR="00886086">
        <w:rPr>
          <w:iCs/>
          <w:sz w:val="28"/>
          <w:szCs w:val="28"/>
        </w:rPr>
        <w:t xml:space="preserve">thông tin để </w:t>
      </w:r>
      <w:r>
        <w:rPr>
          <w:iCs/>
          <w:sz w:val="28"/>
          <w:szCs w:val="28"/>
        </w:rPr>
        <w:t xml:space="preserve">Quý đơn vị </w:t>
      </w:r>
      <w:r w:rsidR="00C53D3B">
        <w:rPr>
          <w:iCs/>
          <w:sz w:val="28"/>
          <w:szCs w:val="28"/>
        </w:rPr>
        <w:t xml:space="preserve">công khai ý kiến chính thức của Bộ lên Cổng Pháp luật quốc gia, Cổng Thông tin điện tử của Bộ về nội dung kiến nghị, phản ánh </w:t>
      </w:r>
      <w:r w:rsidR="00495046">
        <w:rPr>
          <w:iCs/>
          <w:sz w:val="28"/>
          <w:szCs w:val="28"/>
        </w:rPr>
        <w:t>nêu tại</w:t>
      </w:r>
      <w:r w:rsidR="00495046" w:rsidRPr="00161454">
        <w:rPr>
          <w:iCs/>
          <w:sz w:val="28"/>
          <w:szCs w:val="28"/>
        </w:rPr>
        <w:t xml:space="preserve"> </w:t>
      </w:r>
      <w:r w:rsidR="00495046">
        <w:rPr>
          <w:iCs/>
          <w:sz w:val="28"/>
          <w:szCs w:val="28"/>
        </w:rPr>
        <w:t>Phụ lục II Báo c</w:t>
      </w:r>
      <w:r w:rsidR="00407258">
        <w:rPr>
          <w:iCs/>
          <w:sz w:val="28"/>
          <w:szCs w:val="28"/>
        </w:rPr>
        <w:t>áo số 207/BC-BTP ngày 04/4/2026, cụ thể:</w:t>
      </w:r>
    </w:p>
    <w:p w14:paraId="21C8F092" w14:textId="2D0285B7" w:rsidR="00495046" w:rsidRPr="00407258" w:rsidRDefault="00C53D3B" w:rsidP="00407258">
      <w:pPr>
        <w:spacing w:before="120"/>
        <w:ind w:firstLine="720"/>
        <w:jc w:val="both"/>
        <w:rPr>
          <w:iCs/>
          <w:sz w:val="28"/>
          <w:szCs w:val="28"/>
        </w:rPr>
      </w:pPr>
      <w:r>
        <w:rPr>
          <w:iCs/>
          <w:sz w:val="28"/>
          <w:szCs w:val="28"/>
        </w:rPr>
        <w:t>- Đ</w:t>
      </w:r>
      <w:r w:rsidR="00495046">
        <w:rPr>
          <w:iCs/>
          <w:sz w:val="28"/>
          <w:szCs w:val="28"/>
        </w:rPr>
        <w:t>ối với Nghị định số 111/2015/NĐ-CP ngày 03/11/2015 của Chính phủ về phát triển công nghiệp hỗ trợ</w:t>
      </w:r>
      <w:r w:rsidR="000608B9">
        <w:rPr>
          <w:iCs/>
          <w:sz w:val="28"/>
          <w:szCs w:val="28"/>
        </w:rPr>
        <w:t xml:space="preserve"> (Số thứ tự 13)</w:t>
      </w:r>
      <w:r w:rsidR="00407258">
        <w:rPr>
          <w:iCs/>
          <w:sz w:val="28"/>
          <w:szCs w:val="28"/>
        </w:rPr>
        <w:t xml:space="preserve">, </w:t>
      </w:r>
    </w:p>
    <w:p w14:paraId="650F306F" w14:textId="76992B73" w:rsidR="006677A5" w:rsidRDefault="00C53D3B" w:rsidP="00137947">
      <w:pPr>
        <w:spacing w:before="120"/>
        <w:ind w:firstLine="720"/>
        <w:jc w:val="both"/>
        <w:rPr>
          <w:iCs/>
          <w:sz w:val="28"/>
          <w:szCs w:val="28"/>
        </w:rPr>
      </w:pPr>
      <w:r>
        <w:rPr>
          <w:iCs/>
          <w:sz w:val="28"/>
          <w:szCs w:val="28"/>
        </w:rPr>
        <w:t xml:space="preserve">- </w:t>
      </w:r>
      <w:r w:rsidR="00A45AEA">
        <w:rPr>
          <w:iCs/>
          <w:sz w:val="28"/>
          <w:szCs w:val="28"/>
        </w:rPr>
        <w:t xml:space="preserve">Đối với </w:t>
      </w:r>
      <w:r w:rsidR="006677A5">
        <w:rPr>
          <w:iCs/>
          <w:sz w:val="28"/>
          <w:szCs w:val="28"/>
        </w:rPr>
        <w:t>Thông tư số 60/2025/TT-BCT ngày 02/12/2025 của Bộ trưởng Bộ Công Thương quy định về thực hiện giá bán điện</w:t>
      </w:r>
      <w:r w:rsidR="000608B9">
        <w:rPr>
          <w:iCs/>
          <w:sz w:val="28"/>
          <w:szCs w:val="28"/>
        </w:rPr>
        <w:t xml:space="preserve"> (Số thứ tự 41)</w:t>
      </w:r>
      <w:r w:rsidR="006677A5">
        <w:rPr>
          <w:iCs/>
          <w:sz w:val="28"/>
          <w:szCs w:val="28"/>
        </w:rPr>
        <w:t>.</w:t>
      </w:r>
    </w:p>
    <w:p w14:paraId="376D132F" w14:textId="5D7A0F68" w:rsidR="00495046" w:rsidRDefault="00C53D3B" w:rsidP="00137947">
      <w:pPr>
        <w:spacing w:before="120"/>
        <w:ind w:firstLine="720"/>
        <w:jc w:val="both"/>
        <w:rPr>
          <w:iCs/>
          <w:sz w:val="28"/>
          <w:szCs w:val="28"/>
        </w:rPr>
      </w:pPr>
      <w:r>
        <w:rPr>
          <w:iCs/>
          <w:sz w:val="28"/>
          <w:szCs w:val="28"/>
        </w:rPr>
        <w:t>-</w:t>
      </w:r>
      <w:r w:rsidR="00495046">
        <w:rPr>
          <w:iCs/>
          <w:sz w:val="28"/>
          <w:szCs w:val="28"/>
        </w:rPr>
        <w:t xml:space="preserve"> </w:t>
      </w:r>
      <w:r w:rsidR="00A45AEA">
        <w:rPr>
          <w:iCs/>
          <w:sz w:val="28"/>
          <w:szCs w:val="28"/>
        </w:rPr>
        <w:t>Đối với n</w:t>
      </w:r>
      <w:r>
        <w:rPr>
          <w:iCs/>
          <w:sz w:val="28"/>
          <w:szCs w:val="28"/>
        </w:rPr>
        <w:t>ội dung</w:t>
      </w:r>
      <w:r w:rsidR="00495046">
        <w:rPr>
          <w:iCs/>
          <w:sz w:val="28"/>
          <w:szCs w:val="28"/>
        </w:rPr>
        <w:t xml:space="preserve"> nêu</w:t>
      </w:r>
      <w:bookmarkStart w:id="0" w:name="_GoBack"/>
      <w:bookmarkEnd w:id="0"/>
      <w:r w:rsidR="00495046">
        <w:rPr>
          <w:iCs/>
          <w:sz w:val="28"/>
          <w:szCs w:val="28"/>
        </w:rPr>
        <w:t xml:space="preserve"> tại</w:t>
      </w:r>
      <w:r w:rsidR="00495046" w:rsidRPr="00161454">
        <w:rPr>
          <w:iCs/>
          <w:sz w:val="28"/>
          <w:szCs w:val="28"/>
        </w:rPr>
        <w:t xml:space="preserve"> </w:t>
      </w:r>
      <w:r>
        <w:rPr>
          <w:iCs/>
          <w:sz w:val="28"/>
          <w:szCs w:val="28"/>
        </w:rPr>
        <w:t>s</w:t>
      </w:r>
      <w:r w:rsidR="00495046">
        <w:rPr>
          <w:iCs/>
          <w:sz w:val="28"/>
          <w:szCs w:val="28"/>
        </w:rPr>
        <w:t>ố thứ 52</w:t>
      </w:r>
      <w:r>
        <w:rPr>
          <w:iCs/>
          <w:sz w:val="28"/>
          <w:szCs w:val="28"/>
        </w:rPr>
        <w:t xml:space="preserve"> Phụ lục II</w:t>
      </w:r>
      <w:r w:rsidR="00495046" w:rsidRPr="006677A5">
        <w:rPr>
          <w:iCs/>
          <w:sz w:val="28"/>
          <w:szCs w:val="28"/>
        </w:rPr>
        <w:t xml:space="preserve"> </w:t>
      </w:r>
      <w:r w:rsidR="00495046">
        <w:rPr>
          <w:iCs/>
          <w:sz w:val="28"/>
          <w:szCs w:val="28"/>
        </w:rPr>
        <w:t xml:space="preserve">Báo cáo số 207/BC-BTP ngày 04/4/2026 liên quan </w:t>
      </w:r>
      <w:r w:rsidR="00F472EF">
        <w:rPr>
          <w:iCs/>
          <w:sz w:val="28"/>
          <w:szCs w:val="28"/>
        </w:rPr>
        <w:t>đến phát triển xanh.</w:t>
      </w:r>
    </w:p>
    <w:p w14:paraId="5C0F51B9" w14:textId="74DE36F5" w:rsidR="009C69DC" w:rsidRPr="009C69DC" w:rsidRDefault="009C69DC" w:rsidP="00540F50">
      <w:pPr>
        <w:spacing w:before="120"/>
        <w:jc w:val="center"/>
        <w:rPr>
          <w:i/>
          <w:iCs/>
          <w:sz w:val="28"/>
          <w:szCs w:val="28"/>
        </w:rPr>
      </w:pPr>
      <w:r w:rsidRPr="009C69DC">
        <w:rPr>
          <w:i/>
          <w:iCs/>
          <w:sz w:val="28"/>
          <w:szCs w:val="28"/>
        </w:rPr>
        <w:t>(Nội dung đăng tải tại Phụ lục kèm theo công văn này)</w:t>
      </w:r>
    </w:p>
    <w:p w14:paraId="065C9687" w14:textId="247A9439" w:rsidR="00B05A56" w:rsidRDefault="00C53D3B" w:rsidP="000840E5">
      <w:pPr>
        <w:spacing w:before="120" w:after="120"/>
        <w:ind w:firstLine="720"/>
        <w:jc w:val="both"/>
        <w:rPr>
          <w:iCs/>
          <w:sz w:val="28"/>
          <w:szCs w:val="28"/>
        </w:rPr>
      </w:pPr>
      <w:r>
        <w:rPr>
          <w:iCs/>
          <w:sz w:val="28"/>
          <w:szCs w:val="28"/>
        </w:rPr>
        <w:t>Do thời gian xử lý gấp, Cục ĐC</w:t>
      </w:r>
      <w:r w:rsidR="00C46824">
        <w:rPr>
          <w:iCs/>
          <w:sz w:val="28"/>
          <w:szCs w:val="28"/>
        </w:rPr>
        <w:t>K</w:t>
      </w:r>
      <w:r>
        <w:rPr>
          <w:iCs/>
          <w:sz w:val="28"/>
          <w:szCs w:val="28"/>
        </w:rPr>
        <w:t xml:space="preserve"> đề nghị các đơn vị </w:t>
      </w:r>
      <w:r w:rsidR="00407258">
        <w:rPr>
          <w:iCs/>
          <w:sz w:val="28"/>
          <w:szCs w:val="28"/>
        </w:rPr>
        <w:t>phối hợp đăng tải thông tin nêu trên lên Cổng Pháp luật quốc gia, Công thông tin điện tử của Bộ nội dung kiến nghị, phản ánh (</w:t>
      </w:r>
      <w:r w:rsidR="005869B5">
        <w:rPr>
          <w:iCs/>
          <w:sz w:val="28"/>
          <w:szCs w:val="28"/>
        </w:rPr>
        <w:t xml:space="preserve">Stt 13, 41, 52 tại </w:t>
      </w:r>
      <w:r w:rsidR="00407258">
        <w:rPr>
          <w:iCs/>
          <w:sz w:val="28"/>
          <w:szCs w:val="28"/>
        </w:rPr>
        <w:t>Phụ lục II</w:t>
      </w:r>
      <w:r w:rsidR="005869B5">
        <w:rPr>
          <w:iCs/>
          <w:sz w:val="28"/>
          <w:szCs w:val="28"/>
        </w:rPr>
        <w:t xml:space="preserve"> kèm theo</w:t>
      </w:r>
      <w:r w:rsidR="00407258">
        <w:rPr>
          <w:iCs/>
          <w:sz w:val="28"/>
          <w:szCs w:val="28"/>
        </w:rPr>
        <w:t>) để các cơ quan, tổ chức, doanh nghiệp, cá nhân có kiến nghị, phản ánh được biết</w:t>
      </w:r>
      <w:r w:rsidR="00233137">
        <w:rPr>
          <w:iCs/>
          <w:sz w:val="28"/>
          <w:szCs w:val="28"/>
        </w:rPr>
        <w:t>.</w:t>
      </w:r>
    </w:p>
    <w:p w14:paraId="00C03B59" w14:textId="31C6E13B" w:rsidR="000608B9" w:rsidRPr="005869B5" w:rsidRDefault="005869B5" w:rsidP="005869B5">
      <w:pPr>
        <w:spacing w:before="120" w:after="240" w:line="360" w:lineRule="exact"/>
        <w:ind w:firstLine="720"/>
        <w:rPr>
          <w:iCs/>
          <w:sz w:val="28"/>
          <w:szCs w:val="28"/>
        </w:rPr>
      </w:pPr>
      <w:r w:rsidRPr="005869B5">
        <w:rPr>
          <w:iCs/>
          <w:sz w:val="28"/>
          <w:szCs w:val="28"/>
        </w:rPr>
        <w:t>Trân trọng cảm ơn sự phối hợp của các đơn vị</w:t>
      </w:r>
      <w:r w:rsidR="000608B9" w:rsidRPr="005869B5">
        <w:rPr>
          <w:iCs/>
          <w:sz w:val="28"/>
          <w:szCs w:val="28"/>
        </w:rPr>
        <w:t>./.</w:t>
      </w:r>
    </w:p>
    <w:tbl>
      <w:tblPr>
        <w:tblW w:w="9639" w:type="dxa"/>
        <w:tblLook w:val="04A0" w:firstRow="1" w:lastRow="0" w:firstColumn="1" w:lastColumn="0" w:noHBand="0" w:noVBand="1"/>
      </w:tblPr>
      <w:tblGrid>
        <w:gridCol w:w="4253"/>
        <w:gridCol w:w="5386"/>
      </w:tblGrid>
      <w:tr w:rsidR="00AF431E" w14:paraId="505F7FBC" w14:textId="77777777" w:rsidTr="00A269CF">
        <w:tc>
          <w:tcPr>
            <w:tcW w:w="4253" w:type="dxa"/>
          </w:tcPr>
          <w:p w14:paraId="16FD9FC5" w14:textId="77777777" w:rsidR="00576605" w:rsidRDefault="00576605">
            <w:pPr>
              <w:tabs>
                <w:tab w:val="left" w:pos="540"/>
              </w:tabs>
              <w:spacing w:line="276" w:lineRule="auto"/>
              <w:jc w:val="both"/>
              <w:rPr>
                <w:b/>
                <w:i/>
              </w:rPr>
            </w:pPr>
            <w:r>
              <w:rPr>
                <w:b/>
                <w:i/>
              </w:rPr>
              <w:t>Nơi nhận:</w:t>
            </w:r>
          </w:p>
          <w:p w14:paraId="1AE6F826" w14:textId="77777777" w:rsidR="00576605" w:rsidRDefault="00576605">
            <w:pPr>
              <w:tabs>
                <w:tab w:val="left" w:pos="360"/>
              </w:tabs>
              <w:spacing w:line="276" w:lineRule="auto"/>
              <w:jc w:val="both"/>
              <w:rPr>
                <w:sz w:val="22"/>
                <w:szCs w:val="22"/>
              </w:rPr>
            </w:pPr>
            <w:r>
              <w:rPr>
                <w:sz w:val="22"/>
                <w:szCs w:val="22"/>
              </w:rPr>
              <w:t>- Như trên;</w:t>
            </w:r>
          </w:p>
          <w:p w14:paraId="1858987A" w14:textId="45A78FE7" w:rsidR="00B05A56" w:rsidRDefault="00B05A56">
            <w:pPr>
              <w:tabs>
                <w:tab w:val="left" w:pos="360"/>
              </w:tabs>
              <w:spacing w:line="276" w:lineRule="auto"/>
              <w:jc w:val="both"/>
              <w:rPr>
                <w:sz w:val="22"/>
                <w:szCs w:val="22"/>
              </w:rPr>
            </w:pPr>
            <w:r>
              <w:rPr>
                <w:sz w:val="22"/>
                <w:szCs w:val="22"/>
              </w:rPr>
              <w:t>- Bộ trưởng (để b/c);</w:t>
            </w:r>
          </w:p>
          <w:p w14:paraId="1287E75A" w14:textId="4EF5CFF7" w:rsidR="00223CBF" w:rsidRDefault="00223CBF">
            <w:pPr>
              <w:tabs>
                <w:tab w:val="left" w:pos="360"/>
              </w:tabs>
              <w:spacing w:line="276" w:lineRule="auto"/>
              <w:jc w:val="both"/>
              <w:rPr>
                <w:sz w:val="22"/>
                <w:szCs w:val="22"/>
              </w:rPr>
            </w:pPr>
            <w:r>
              <w:rPr>
                <w:sz w:val="22"/>
                <w:szCs w:val="22"/>
              </w:rPr>
              <w:t xml:space="preserve">- </w:t>
            </w:r>
            <w:r w:rsidR="002E62EE">
              <w:rPr>
                <w:sz w:val="22"/>
                <w:szCs w:val="22"/>
              </w:rPr>
              <w:t>Thứ trưởng Nguyễn Sinh Nhật Tân</w:t>
            </w:r>
            <w:r>
              <w:rPr>
                <w:sz w:val="22"/>
                <w:szCs w:val="22"/>
              </w:rPr>
              <w:t xml:space="preserve"> (để b/c);</w:t>
            </w:r>
          </w:p>
          <w:p w14:paraId="29CA8A65" w14:textId="47B2FE4D" w:rsidR="00576605" w:rsidRDefault="00BE27D5">
            <w:pPr>
              <w:tabs>
                <w:tab w:val="left" w:pos="360"/>
              </w:tabs>
              <w:spacing w:line="276" w:lineRule="auto"/>
              <w:jc w:val="both"/>
              <w:rPr>
                <w:sz w:val="22"/>
              </w:rPr>
            </w:pPr>
            <w:r>
              <w:rPr>
                <w:sz w:val="22"/>
                <w:szCs w:val="22"/>
              </w:rPr>
              <w:t>- Lưu</w:t>
            </w:r>
            <w:r w:rsidR="004B38D5">
              <w:rPr>
                <w:sz w:val="22"/>
                <w:szCs w:val="22"/>
              </w:rPr>
              <w:t>:</w:t>
            </w:r>
            <w:r w:rsidR="002E62EE">
              <w:rPr>
                <w:sz w:val="22"/>
                <w:szCs w:val="22"/>
              </w:rPr>
              <w:t xml:space="preserve"> VT, </w:t>
            </w:r>
            <w:r w:rsidR="005869B5">
              <w:rPr>
                <w:sz w:val="22"/>
                <w:szCs w:val="22"/>
              </w:rPr>
              <w:t>VP (Hueltm)</w:t>
            </w:r>
            <w:r w:rsidR="004B38D5">
              <w:rPr>
                <w:sz w:val="22"/>
                <w:szCs w:val="22"/>
              </w:rPr>
              <w:t>.</w:t>
            </w:r>
          </w:p>
          <w:p w14:paraId="67297545" w14:textId="77777777" w:rsidR="00906A4A" w:rsidRDefault="00906A4A">
            <w:pPr>
              <w:spacing w:before="120" w:line="360" w:lineRule="exact"/>
              <w:jc w:val="both"/>
              <w:rPr>
                <w:szCs w:val="28"/>
              </w:rPr>
            </w:pPr>
          </w:p>
        </w:tc>
        <w:tc>
          <w:tcPr>
            <w:tcW w:w="5386" w:type="dxa"/>
          </w:tcPr>
          <w:p w14:paraId="3C84C17E" w14:textId="4FC77F33" w:rsidR="003D2F77" w:rsidRDefault="00AF3085" w:rsidP="00E13253">
            <w:pPr>
              <w:spacing w:before="120" w:line="276" w:lineRule="auto"/>
              <w:jc w:val="center"/>
              <w:rPr>
                <w:b/>
                <w:color w:val="000000"/>
                <w:sz w:val="27"/>
                <w:szCs w:val="27"/>
              </w:rPr>
            </w:pPr>
            <w:r>
              <w:rPr>
                <w:b/>
                <w:color w:val="000000"/>
                <w:sz w:val="27"/>
                <w:szCs w:val="27"/>
              </w:rPr>
              <w:t>CỤC</w:t>
            </w:r>
            <w:r w:rsidR="00576605" w:rsidRPr="004B38D5">
              <w:rPr>
                <w:b/>
                <w:color w:val="000000"/>
                <w:sz w:val="27"/>
                <w:szCs w:val="27"/>
              </w:rPr>
              <w:t xml:space="preserve"> TRƯỞNG</w:t>
            </w:r>
            <w:r w:rsidR="00E13253" w:rsidRPr="004B38D5">
              <w:rPr>
                <w:b/>
                <w:color w:val="000000"/>
                <w:sz w:val="27"/>
                <w:szCs w:val="27"/>
              </w:rPr>
              <w:t xml:space="preserve"> </w:t>
            </w:r>
          </w:p>
          <w:p w14:paraId="12DB3DAE" w14:textId="77777777" w:rsidR="00926DBF" w:rsidRDefault="00926DBF">
            <w:pPr>
              <w:tabs>
                <w:tab w:val="left" w:pos="540"/>
              </w:tabs>
              <w:spacing w:after="120" w:line="276" w:lineRule="auto"/>
              <w:rPr>
                <w:b/>
                <w:szCs w:val="28"/>
              </w:rPr>
            </w:pPr>
          </w:p>
          <w:p w14:paraId="2DD835F4" w14:textId="6DA6CDBB" w:rsidR="00CD4468" w:rsidRDefault="003D2F77" w:rsidP="00BE27D5">
            <w:pPr>
              <w:tabs>
                <w:tab w:val="center" w:pos="2214"/>
                <w:tab w:val="left" w:pos="3135"/>
              </w:tabs>
              <w:spacing w:before="120" w:line="360" w:lineRule="exact"/>
              <w:rPr>
                <w:b/>
                <w:sz w:val="28"/>
                <w:szCs w:val="28"/>
              </w:rPr>
            </w:pPr>
            <w:r>
              <w:rPr>
                <w:b/>
                <w:sz w:val="28"/>
                <w:szCs w:val="28"/>
              </w:rPr>
              <w:tab/>
            </w:r>
          </w:p>
          <w:p w14:paraId="05567760" w14:textId="77777777" w:rsidR="00C74B6A" w:rsidRDefault="00C74B6A" w:rsidP="00E13253">
            <w:pPr>
              <w:tabs>
                <w:tab w:val="center" w:pos="2214"/>
                <w:tab w:val="left" w:pos="3135"/>
              </w:tabs>
              <w:spacing w:before="120" w:line="360" w:lineRule="exact"/>
              <w:jc w:val="center"/>
              <w:rPr>
                <w:b/>
                <w:sz w:val="28"/>
                <w:szCs w:val="28"/>
              </w:rPr>
            </w:pPr>
          </w:p>
          <w:p w14:paraId="30BFFD27" w14:textId="71F40406" w:rsidR="0001384F" w:rsidRDefault="004C7D14" w:rsidP="00E13253">
            <w:pPr>
              <w:tabs>
                <w:tab w:val="center" w:pos="2214"/>
                <w:tab w:val="left" w:pos="3135"/>
              </w:tabs>
              <w:spacing w:before="120" w:line="360" w:lineRule="exact"/>
              <w:jc w:val="center"/>
              <w:rPr>
                <w:szCs w:val="28"/>
              </w:rPr>
            </w:pPr>
            <w:r>
              <w:rPr>
                <w:b/>
                <w:sz w:val="28"/>
                <w:szCs w:val="28"/>
              </w:rPr>
              <w:t>Nguyễn Thị Lâm Giang</w:t>
            </w:r>
          </w:p>
        </w:tc>
      </w:tr>
    </w:tbl>
    <w:p w14:paraId="22D87BCE" w14:textId="77777777" w:rsidR="000D7891" w:rsidRDefault="000D7891" w:rsidP="005869B5">
      <w:pPr>
        <w:pStyle w:val="NormalWeb"/>
        <w:spacing w:before="0" w:beforeAutospacing="0" w:after="0" w:afterAutospacing="0"/>
        <w:jc w:val="both"/>
        <w:textAlignment w:val="baseline"/>
        <w:sectPr w:rsidR="000D7891" w:rsidSect="002F05B4">
          <w:pgSz w:w="11907" w:h="16840" w:code="9"/>
          <w:pgMar w:top="1134" w:right="1134" w:bottom="1134" w:left="1701" w:header="720" w:footer="720" w:gutter="0"/>
          <w:cols w:space="720"/>
          <w:docGrid w:linePitch="381"/>
        </w:sectPr>
      </w:pPr>
    </w:p>
    <w:p w14:paraId="0E08DE2E" w14:textId="0C1CFD52" w:rsidR="000D7891" w:rsidRDefault="000D7891" w:rsidP="000D7891">
      <w:pPr>
        <w:spacing w:line="264" w:lineRule="auto"/>
        <w:jc w:val="center"/>
        <w:rPr>
          <w:b/>
        </w:rPr>
      </w:pPr>
      <w:r>
        <w:rPr>
          <w:b/>
        </w:rPr>
        <w:lastRenderedPageBreak/>
        <w:t xml:space="preserve">PHỤ LỤC </w:t>
      </w:r>
    </w:p>
    <w:p w14:paraId="3B02497B" w14:textId="77777777" w:rsidR="000D7891" w:rsidRPr="00E53342" w:rsidRDefault="000D7891" w:rsidP="000D7891">
      <w:pPr>
        <w:spacing w:line="264" w:lineRule="auto"/>
        <w:jc w:val="center"/>
        <w:rPr>
          <w:b/>
        </w:rPr>
      </w:pPr>
      <w:r>
        <w:rPr>
          <w:b/>
        </w:rPr>
        <w:t>NỘI DUNG TRẢ LỜI CÔNG KHAI LIÊN QUAN ĐẾN</w:t>
      </w:r>
      <w:r w:rsidRPr="00E53342">
        <w:rPr>
          <w:b/>
        </w:rPr>
        <w:t xml:space="preserve"> KIẾN NGHỊ, PHẢN ÁNH CHƯA ĐƯỢC CÁC BỘ, NGÀNH </w:t>
      </w:r>
      <w:r>
        <w:rPr>
          <w:b/>
        </w:rPr>
        <w:t xml:space="preserve">THỐNG </w:t>
      </w:r>
      <w:r w:rsidRPr="00E53342">
        <w:rPr>
          <w:b/>
        </w:rPr>
        <w:t>NHẤT</w:t>
      </w:r>
    </w:p>
    <w:p w14:paraId="61C9C3A1" w14:textId="5ED51862" w:rsidR="000D7891" w:rsidRPr="000D7891" w:rsidRDefault="000D7891" w:rsidP="000D7891">
      <w:pPr>
        <w:pStyle w:val="NormalWeb"/>
        <w:spacing w:before="0" w:beforeAutospacing="0"/>
        <w:jc w:val="center"/>
        <w:rPr>
          <w:i/>
          <w:sz w:val="28"/>
          <w:szCs w:val="28"/>
        </w:rPr>
      </w:pPr>
      <w:r w:rsidRPr="000D7891">
        <w:rPr>
          <w:i/>
          <w:sz w:val="28"/>
          <w:szCs w:val="28"/>
        </w:rPr>
        <w:t>(Kèm theo Công văn</w:t>
      </w:r>
      <w:r>
        <w:rPr>
          <w:i/>
          <w:sz w:val="28"/>
          <w:szCs w:val="28"/>
        </w:rPr>
        <w:t xml:space="preserve"> số:              </w:t>
      </w:r>
      <w:r w:rsidRPr="000D7891">
        <w:rPr>
          <w:i/>
          <w:sz w:val="28"/>
          <w:szCs w:val="28"/>
        </w:rPr>
        <w:t xml:space="preserve"> /ĐCK-VP ngày 29 tháng 4 năm 2026 của Cục ĐCK)</w:t>
      </w:r>
    </w:p>
    <w:p w14:paraId="1462F06D" w14:textId="77777777" w:rsidR="000D7891" w:rsidRPr="00E53342" w:rsidRDefault="000D7891" w:rsidP="000D7891">
      <w:pPr>
        <w:pStyle w:val="NormalWeb"/>
        <w:spacing w:before="0" w:beforeAutospacing="0"/>
        <w:jc w:val="center"/>
      </w:pPr>
      <w:r w:rsidRPr="00E53342">
        <w:rPr>
          <w:noProof/>
        </w:rPr>
        <mc:AlternateContent>
          <mc:Choice Requires="wps">
            <w:drawing>
              <wp:anchor distT="4294967293" distB="4294967293" distL="114300" distR="114300" simplePos="0" relativeHeight="251661312" behindDoc="0" locked="0" layoutInCell="1" allowOverlap="1" wp14:anchorId="7BEB3B86" wp14:editId="0A578383">
                <wp:simplePos x="0" y="0"/>
                <wp:positionH relativeFrom="margin">
                  <wp:posOffset>3699486</wp:posOffset>
                </wp:positionH>
                <wp:positionV relativeFrom="paragraph">
                  <wp:posOffset>72235</wp:posOffset>
                </wp:positionV>
                <wp:extent cx="144018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91.3pt,5.7pt" to="4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8MQHAIAADcEAAAOAAAAZHJzL2Uyb0RvYy54bWysU02P2yAQvVfqf0C+J7azbjZ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" strokeweight="1pt">
                <w10:wrap anchorx="margin"/>
              </v:line>
            </w:pict>
          </mc:Fallback>
        </mc:AlternateContent>
      </w:r>
    </w:p>
    <w:p w14:paraId="32AE3F85" w14:textId="77777777" w:rsidR="000D7891" w:rsidRPr="00E53342" w:rsidRDefault="000D7891" w:rsidP="000D7891">
      <w:pPr>
        <w:spacing w:before="120" w:after="120" w:line="264" w:lineRule="auto"/>
        <w:jc w:val="both"/>
        <w:rPr>
          <w:b/>
          <w:bCs/>
          <w:i/>
          <w:iC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111"/>
        <w:gridCol w:w="1701"/>
        <w:gridCol w:w="1984"/>
        <w:gridCol w:w="4820"/>
      </w:tblGrid>
      <w:tr w:rsidR="000D7891" w:rsidRPr="00E53342" w14:paraId="6E9C035B" w14:textId="77777777" w:rsidTr="001E5D24">
        <w:trPr>
          <w:trHeight w:val="759"/>
          <w:tblHeader/>
        </w:trPr>
        <w:tc>
          <w:tcPr>
            <w:tcW w:w="709" w:type="dxa"/>
            <w:shd w:val="clear" w:color="auto" w:fill="F7CAAC"/>
            <w:vAlign w:val="center"/>
          </w:tcPr>
          <w:p w14:paraId="61C79473" w14:textId="77777777" w:rsidR="000D7891" w:rsidRPr="00E53342" w:rsidRDefault="000D7891" w:rsidP="001E5D24">
            <w:pPr>
              <w:spacing w:line="264" w:lineRule="auto"/>
              <w:jc w:val="center"/>
              <w:rPr>
                <w:b/>
                <w:sz w:val="20"/>
                <w:szCs w:val="20"/>
              </w:rPr>
            </w:pPr>
            <w:r w:rsidRPr="00E53342">
              <w:rPr>
                <w:b/>
                <w:sz w:val="20"/>
                <w:szCs w:val="20"/>
              </w:rPr>
              <w:t>STT</w:t>
            </w:r>
          </w:p>
        </w:tc>
        <w:tc>
          <w:tcPr>
            <w:tcW w:w="2410" w:type="dxa"/>
            <w:shd w:val="clear" w:color="auto" w:fill="F7CAAC"/>
            <w:vAlign w:val="center"/>
          </w:tcPr>
          <w:p w14:paraId="4096F664" w14:textId="77777777" w:rsidR="000D7891" w:rsidRPr="00E53342" w:rsidRDefault="000D7891" w:rsidP="001E5D24">
            <w:pPr>
              <w:spacing w:line="264" w:lineRule="auto"/>
              <w:jc w:val="center"/>
              <w:rPr>
                <w:b/>
                <w:sz w:val="20"/>
                <w:szCs w:val="20"/>
              </w:rPr>
            </w:pPr>
            <w:r w:rsidRPr="00E53342">
              <w:rPr>
                <w:b/>
                <w:sz w:val="20"/>
                <w:szCs w:val="20"/>
              </w:rPr>
              <w:t>Điều, khoản, điểm, tên văn bản đề xuất xử lý</w:t>
            </w:r>
          </w:p>
        </w:tc>
        <w:tc>
          <w:tcPr>
            <w:tcW w:w="4111" w:type="dxa"/>
            <w:shd w:val="clear" w:color="auto" w:fill="F7CAAC"/>
            <w:vAlign w:val="center"/>
          </w:tcPr>
          <w:p w14:paraId="7A772268" w14:textId="77777777" w:rsidR="000D7891" w:rsidRPr="00E53342" w:rsidRDefault="000D7891" w:rsidP="001E5D24">
            <w:pPr>
              <w:spacing w:line="264" w:lineRule="auto"/>
              <w:jc w:val="center"/>
              <w:rPr>
                <w:b/>
                <w:sz w:val="20"/>
                <w:szCs w:val="20"/>
              </w:rPr>
            </w:pPr>
            <w:r w:rsidRPr="00E53342">
              <w:rPr>
                <w:b/>
                <w:sz w:val="20"/>
                <w:szCs w:val="20"/>
              </w:rPr>
              <w:t>Nội dung phản ánh,</w:t>
            </w:r>
          </w:p>
          <w:p w14:paraId="476FE5F1" w14:textId="77777777" w:rsidR="000D7891" w:rsidRPr="00E53342" w:rsidRDefault="000D7891" w:rsidP="001E5D24">
            <w:pPr>
              <w:spacing w:line="264" w:lineRule="auto"/>
              <w:jc w:val="center"/>
              <w:rPr>
                <w:b/>
                <w:sz w:val="20"/>
                <w:szCs w:val="20"/>
              </w:rPr>
            </w:pPr>
            <w:r w:rsidRPr="00E53342">
              <w:rPr>
                <w:b/>
                <w:sz w:val="20"/>
                <w:szCs w:val="20"/>
              </w:rPr>
              <w:t>kiến nghị</w:t>
            </w:r>
          </w:p>
        </w:tc>
        <w:tc>
          <w:tcPr>
            <w:tcW w:w="1701" w:type="dxa"/>
            <w:shd w:val="clear" w:color="auto" w:fill="F7CAAC"/>
            <w:vAlign w:val="center"/>
          </w:tcPr>
          <w:p w14:paraId="2AD539A0" w14:textId="77777777" w:rsidR="000D7891" w:rsidRPr="00E53342" w:rsidRDefault="000D7891" w:rsidP="001E5D24">
            <w:pPr>
              <w:spacing w:line="264" w:lineRule="auto"/>
              <w:jc w:val="center"/>
              <w:rPr>
                <w:b/>
                <w:sz w:val="20"/>
                <w:szCs w:val="20"/>
              </w:rPr>
            </w:pPr>
            <w:r w:rsidRPr="00E53342">
              <w:rPr>
                <w:b/>
                <w:sz w:val="20"/>
                <w:szCs w:val="20"/>
              </w:rPr>
              <w:t>Phương án xử lý được đề xuất</w:t>
            </w:r>
          </w:p>
          <w:p w14:paraId="51107841" w14:textId="77777777" w:rsidR="000D7891" w:rsidRPr="00E53342" w:rsidRDefault="000D7891" w:rsidP="001E5D24">
            <w:pPr>
              <w:spacing w:line="264" w:lineRule="auto"/>
              <w:jc w:val="center"/>
              <w:rPr>
                <w:b/>
                <w:sz w:val="20"/>
                <w:szCs w:val="20"/>
              </w:rPr>
            </w:pPr>
            <w:r w:rsidRPr="00E53342">
              <w:rPr>
                <w:b/>
                <w:sz w:val="20"/>
                <w:szCs w:val="20"/>
              </w:rPr>
              <w:t>(nếu có)</w:t>
            </w:r>
          </w:p>
        </w:tc>
        <w:tc>
          <w:tcPr>
            <w:tcW w:w="1984" w:type="dxa"/>
            <w:shd w:val="clear" w:color="auto" w:fill="F7CAAC"/>
            <w:vAlign w:val="center"/>
          </w:tcPr>
          <w:p w14:paraId="7FE23A3D" w14:textId="77777777" w:rsidR="000D7891" w:rsidRPr="00E53342" w:rsidRDefault="000D7891" w:rsidP="001E5D24">
            <w:pPr>
              <w:spacing w:line="264" w:lineRule="auto"/>
              <w:jc w:val="center"/>
              <w:rPr>
                <w:b/>
                <w:sz w:val="20"/>
                <w:szCs w:val="20"/>
              </w:rPr>
            </w:pPr>
            <w:r w:rsidRPr="00E53342">
              <w:rPr>
                <w:b/>
                <w:sz w:val="20"/>
                <w:szCs w:val="20"/>
              </w:rPr>
              <w:t>Ghi chú</w:t>
            </w:r>
          </w:p>
        </w:tc>
        <w:tc>
          <w:tcPr>
            <w:tcW w:w="4820" w:type="dxa"/>
            <w:shd w:val="clear" w:color="auto" w:fill="F7CAAC"/>
            <w:vAlign w:val="center"/>
          </w:tcPr>
          <w:p w14:paraId="24E13431" w14:textId="77777777" w:rsidR="000D7891" w:rsidRPr="00E53342" w:rsidRDefault="000D7891" w:rsidP="001E5D24">
            <w:pPr>
              <w:spacing w:line="264" w:lineRule="auto"/>
              <w:jc w:val="center"/>
              <w:rPr>
                <w:b/>
                <w:sz w:val="20"/>
                <w:szCs w:val="20"/>
              </w:rPr>
            </w:pPr>
            <w:r w:rsidRPr="00E53342">
              <w:rPr>
                <w:b/>
                <w:sz w:val="20"/>
                <w:szCs w:val="20"/>
              </w:rPr>
              <w:t>Lý do không nhất trí</w:t>
            </w:r>
          </w:p>
        </w:tc>
      </w:tr>
      <w:tr w:rsidR="000D7891" w:rsidRPr="00E53342" w14:paraId="39E81BCE" w14:textId="77777777" w:rsidTr="001E5D24">
        <w:trPr>
          <w:tblHeader/>
        </w:trPr>
        <w:tc>
          <w:tcPr>
            <w:tcW w:w="709" w:type="dxa"/>
            <w:shd w:val="clear" w:color="auto" w:fill="F7CAAC"/>
            <w:vAlign w:val="center"/>
          </w:tcPr>
          <w:p w14:paraId="7239A5CE" w14:textId="77777777" w:rsidR="000D7891" w:rsidRPr="00E53342" w:rsidRDefault="000D7891" w:rsidP="001E5D24">
            <w:pPr>
              <w:spacing w:line="264" w:lineRule="auto"/>
              <w:jc w:val="center"/>
              <w:rPr>
                <w:b/>
                <w:i/>
                <w:iCs/>
                <w:sz w:val="20"/>
                <w:szCs w:val="20"/>
              </w:rPr>
            </w:pPr>
            <w:r w:rsidRPr="00E53342">
              <w:rPr>
                <w:b/>
                <w:i/>
                <w:iCs/>
                <w:sz w:val="20"/>
                <w:szCs w:val="20"/>
              </w:rPr>
              <w:t>(1)</w:t>
            </w:r>
          </w:p>
        </w:tc>
        <w:tc>
          <w:tcPr>
            <w:tcW w:w="2410" w:type="dxa"/>
            <w:shd w:val="clear" w:color="auto" w:fill="F7CAAC"/>
            <w:vAlign w:val="center"/>
          </w:tcPr>
          <w:p w14:paraId="289AB178" w14:textId="77777777" w:rsidR="000D7891" w:rsidRPr="00E53342" w:rsidRDefault="000D7891" w:rsidP="001E5D24">
            <w:pPr>
              <w:spacing w:line="264" w:lineRule="auto"/>
              <w:jc w:val="center"/>
              <w:rPr>
                <w:b/>
                <w:i/>
                <w:iCs/>
                <w:sz w:val="20"/>
                <w:szCs w:val="20"/>
              </w:rPr>
            </w:pPr>
            <w:r w:rsidRPr="00E53342">
              <w:rPr>
                <w:b/>
                <w:i/>
                <w:iCs/>
                <w:sz w:val="20"/>
                <w:szCs w:val="20"/>
              </w:rPr>
              <w:t>(2)</w:t>
            </w:r>
          </w:p>
        </w:tc>
        <w:tc>
          <w:tcPr>
            <w:tcW w:w="4111" w:type="dxa"/>
            <w:shd w:val="clear" w:color="auto" w:fill="F7CAAC"/>
            <w:vAlign w:val="center"/>
          </w:tcPr>
          <w:p w14:paraId="51971625" w14:textId="77777777" w:rsidR="000D7891" w:rsidRPr="00E53342" w:rsidRDefault="000D7891" w:rsidP="001E5D24">
            <w:pPr>
              <w:spacing w:line="264" w:lineRule="auto"/>
              <w:jc w:val="center"/>
              <w:rPr>
                <w:b/>
                <w:i/>
                <w:iCs/>
                <w:sz w:val="20"/>
                <w:szCs w:val="20"/>
              </w:rPr>
            </w:pPr>
            <w:r w:rsidRPr="00E53342">
              <w:rPr>
                <w:b/>
                <w:i/>
                <w:iCs/>
                <w:sz w:val="20"/>
                <w:szCs w:val="20"/>
              </w:rPr>
              <w:t>(3)</w:t>
            </w:r>
          </w:p>
        </w:tc>
        <w:tc>
          <w:tcPr>
            <w:tcW w:w="1701" w:type="dxa"/>
            <w:shd w:val="clear" w:color="auto" w:fill="F7CAAC"/>
            <w:vAlign w:val="center"/>
          </w:tcPr>
          <w:p w14:paraId="2C396335" w14:textId="77777777" w:rsidR="000D7891" w:rsidRPr="00E53342" w:rsidRDefault="000D7891" w:rsidP="001E5D24">
            <w:pPr>
              <w:spacing w:line="264" w:lineRule="auto"/>
              <w:jc w:val="center"/>
              <w:rPr>
                <w:b/>
                <w:i/>
                <w:iCs/>
                <w:sz w:val="20"/>
                <w:szCs w:val="20"/>
              </w:rPr>
            </w:pPr>
            <w:r w:rsidRPr="00E53342">
              <w:rPr>
                <w:b/>
                <w:i/>
                <w:iCs/>
                <w:sz w:val="20"/>
                <w:szCs w:val="20"/>
              </w:rPr>
              <w:t>(4)</w:t>
            </w:r>
          </w:p>
        </w:tc>
        <w:tc>
          <w:tcPr>
            <w:tcW w:w="1984" w:type="dxa"/>
            <w:shd w:val="clear" w:color="auto" w:fill="F7CAAC"/>
            <w:vAlign w:val="center"/>
          </w:tcPr>
          <w:p w14:paraId="309FB2F5" w14:textId="77777777" w:rsidR="000D7891" w:rsidRPr="00E53342" w:rsidRDefault="000D7891" w:rsidP="001E5D24">
            <w:pPr>
              <w:spacing w:line="264" w:lineRule="auto"/>
              <w:jc w:val="center"/>
              <w:rPr>
                <w:b/>
                <w:i/>
                <w:iCs/>
                <w:sz w:val="20"/>
                <w:szCs w:val="20"/>
              </w:rPr>
            </w:pPr>
            <w:r w:rsidRPr="00E53342">
              <w:rPr>
                <w:b/>
                <w:i/>
                <w:iCs/>
                <w:sz w:val="20"/>
                <w:szCs w:val="20"/>
              </w:rPr>
              <w:t>(5)</w:t>
            </w:r>
          </w:p>
        </w:tc>
        <w:tc>
          <w:tcPr>
            <w:tcW w:w="4820" w:type="dxa"/>
            <w:shd w:val="clear" w:color="auto" w:fill="F7CAAC"/>
          </w:tcPr>
          <w:p w14:paraId="79A13E83" w14:textId="77777777" w:rsidR="000D7891" w:rsidRPr="00E53342" w:rsidRDefault="000D7891" w:rsidP="001E5D24">
            <w:pPr>
              <w:spacing w:line="264" w:lineRule="auto"/>
              <w:jc w:val="center"/>
              <w:rPr>
                <w:b/>
                <w:i/>
                <w:iCs/>
                <w:sz w:val="20"/>
                <w:szCs w:val="20"/>
              </w:rPr>
            </w:pPr>
            <w:r w:rsidRPr="00E53342">
              <w:rPr>
                <w:b/>
                <w:i/>
                <w:iCs/>
                <w:sz w:val="20"/>
                <w:szCs w:val="20"/>
              </w:rPr>
              <w:t>(6)</w:t>
            </w:r>
          </w:p>
        </w:tc>
      </w:tr>
      <w:tr w:rsidR="000D7891" w:rsidRPr="00E53342" w14:paraId="5CE8D17F" w14:textId="77777777" w:rsidTr="001E5D24">
        <w:trPr>
          <w:trHeight w:val="92"/>
        </w:trPr>
        <w:tc>
          <w:tcPr>
            <w:tcW w:w="709" w:type="dxa"/>
          </w:tcPr>
          <w:p w14:paraId="187F7D30" w14:textId="77777777" w:rsidR="000D7891" w:rsidRPr="00E53342" w:rsidRDefault="000D7891" w:rsidP="000D7891">
            <w:pPr>
              <w:numPr>
                <w:ilvl w:val="0"/>
                <w:numId w:val="5"/>
              </w:numPr>
              <w:spacing w:line="264" w:lineRule="auto"/>
              <w:jc w:val="both"/>
            </w:pPr>
          </w:p>
        </w:tc>
        <w:tc>
          <w:tcPr>
            <w:tcW w:w="2410" w:type="dxa"/>
          </w:tcPr>
          <w:p w14:paraId="6DF25B9F" w14:textId="77777777" w:rsidR="000D7891" w:rsidRPr="00E53342" w:rsidRDefault="000D7891" w:rsidP="001E5D24">
            <w:pPr>
              <w:ind w:firstLine="284"/>
              <w:jc w:val="both"/>
            </w:pPr>
            <w:r w:rsidRPr="00E53342">
              <w:t xml:space="preserve">Điều 11 </w:t>
            </w:r>
            <w:r w:rsidRPr="00E53342">
              <w:rPr>
                <w:b/>
                <w:bCs/>
                <w:i/>
                <w:iCs/>
                <w:lang w:val="vi-VN"/>
              </w:rPr>
              <w:t>Nghị định số 111/20</w:t>
            </w:r>
            <w:r w:rsidRPr="00E53342">
              <w:rPr>
                <w:b/>
                <w:bCs/>
                <w:i/>
                <w:iCs/>
              </w:rPr>
              <w:t>1</w:t>
            </w:r>
            <w:r w:rsidRPr="00E53342">
              <w:rPr>
                <w:b/>
                <w:bCs/>
                <w:i/>
                <w:iCs/>
                <w:lang w:val="vi-VN"/>
              </w:rPr>
              <w:t>5/NĐ-CP</w:t>
            </w:r>
            <w:r w:rsidRPr="00E53342">
              <w:rPr>
                <w:b/>
                <w:bCs/>
                <w:i/>
                <w:iCs/>
              </w:rPr>
              <w:t xml:space="preserve"> </w:t>
            </w:r>
            <w:r w:rsidRPr="00E53342">
              <w:t xml:space="preserve">ngày 03/11/2015 của Chính phủ về phát triển công nghiệp hỗ trợ </w:t>
            </w:r>
            <w:r w:rsidRPr="00E53342">
              <w:rPr>
                <w:lang w:val="vi-VN"/>
              </w:rPr>
              <w:t>(được sửa đổi, bổ sung tại Nghị định số 205/2025/NĐ-CP</w:t>
            </w:r>
            <w:r w:rsidRPr="00E53342">
              <w:t xml:space="preserve">): nội dung kiến nghị: Đã có quy định </w:t>
            </w:r>
            <w:r w:rsidRPr="00E53342">
              <w:rPr>
                <w:lang w:val="vi-VN"/>
              </w:rPr>
              <w:t>tương đối rõ về khái niệm “công nghiệp hỗ trợ” cũng như các hoạt động phát triển công nghiệp hỗ trợ, song trên thực tế việc xác định và chứng minh doanh nghiệp thuộc lĩnh vực này vẫn còn nhiều vướng mắc</w:t>
            </w:r>
            <w:r w:rsidRPr="00E53342">
              <w:t>, gây khó khăn trong áp dụng, thực hiện pháp luật.</w:t>
            </w:r>
          </w:p>
          <w:p w14:paraId="05B1E404" w14:textId="77777777" w:rsidR="000D7891" w:rsidRPr="00E53342" w:rsidRDefault="000D7891" w:rsidP="001E5D24">
            <w:pPr>
              <w:spacing w:line="264" w:lineRule="auto"/>
              <w:ind w:firstLine="340"/>
              <w:jc w:val="both"/>
            </w:pPr>
          </w:p>
        </w:tc>
        <w:tc>
          <w:tcPr>
            <w:tcW w:w="4111" w:type="dxa"/>
          </w:tcPr>
          <w:p w14:paraId="14852DAB" w14:textId="77777777" w:rsidR="000D7891" w:rsidRPr="00E53342" w:rsidRDefault="000D7891" w:rsidP="001E5D24">
            <w:pPr>
              <w:ind w:firstLine="284"/>
              <w:jc w:val="both"/>
              <w:rPr>
                <w:lang w:val="vi-VN"/>
              </w:rPr>
            </w:pPr>
            <w:r w:rsidRPr="00E53342">
              <w:rPr>
                <w:lang w:val="vi-VN"/>
              </w:rPr>
              <w:lastRenderedPageBreak/>
              <w:t>Các doanh nghiệp hoạt động trong lĩnh vực công nghiệp hỗ trợ hiện vẫn gặp nhiều khó khăn trong việc tiếp cận các chính sách ưu đãi của Nhà nước. Mặc dù Nghị định số 111/2015/NĐ-CP (được sửa đổi, bổ sung tại Nghị định số 205/2025/NĐ-CP) đã quy định tương đối rõ về khái niệm “công nghiệp hỗ trợ” cũng như các hoạt động phát triển công nghiệp hỗ trợ, song trên thực tế việc xác định và chứng minh doanh nghiệp thuộc lĩnh vực này vẫn còn nhiều vướng mắc.</w:t>
            </w:r>
          </w:p>
          <w:p w14:paraId="5435C625" w14:textId="77777777" w:rsidR="000D7891" w:rsidRPr="00E53342" w:rsidRDefault="000D7891" w:rsidP="001E5D24">
            <w:pPr>
              <w:tabs>
                <w:tab w:val="left" w:pos="3826"/>
                <w:tab w:val="right" w:leader="dot" w:pos="8640"/>
              </w:tabs>
              <w:ind w:right="-49"/>
              <w:jc w:val="both"/>
              <w:rPr>
                <w:lang w:val="en-GB" w:eastAsia="en-GB"/>
              </w:rPr>
            </w:pPr>
            <w:r w:rsidRPr="00E53342">
              <w:rPr>
                <w:lang w:val="vi-VN"/>
              </w:rPr>
              <w:t xml:space="preserve">Nhiều doanh nghiệp sản xuất linh kiện, phụ tùng tham gia sâu vào chuỗi cung ứng toàn cầu, thậm chí có giá trị xuất khẩu hàng phụ trợ lên tới hàng chục triệu USD mỗi năm, nhưng khi làm hồ sơ xin hưởng các chính sách ưu đãi lại gặp khó khăn trong việc chứng minh sản phẩm của mình thuộc danh mục sản phẩm công nghiệp hỗ trợ ưu tiên phát triển hoặc chứng minh doanh nghiệp đáp </w:t>
            </w:r>
            <w:r w:rsidRPr="00E53342">
              <w:rPr>
                <w:lang w:val="vi-VN"/>
              </w:rPr>
              <w:lastRenderedPageBreak/>
              <w:t>ứng tiêu chí của doanh nghiệp công nghiệp hỗ trợ. Điều này dẫn đến tình trạng doanh nghiệp khó tiếp cận các chính sách hỗ trợ về tín dụng, thuế, đất đai hoặc chương trình phát triển công nghiệp hỗ trợ, làm giảm hiệu quả thực thi của chính sách.</w:t>
            </w:r>
          </w:p>
        </w:tc>
        <w:tc>
          <w:tcPr>
            <w:tcW w:w="1701" w:type="dxa"/>
          </w:tcPr>
          <w:p w14:paraId="2DFF6F28" w14:textId="77777777" w:rsidR="000D7891" w:rsidRPr="00E53342" w:rsidRDefault="000D7891" w:rsidP="001E5D24">
            <w:pPr>
              <w:tabs>
                <w:tab w:val="right" w:leader="dot" w:pos="8640"/>
              </w:tabs>
              <w:ind w:right="-49"/>
              <w:jc w:val="both"/>
              <w:rPr>
                <w:lang w:val="en-GB" w:eastAsia="en-GB"/>
              </w:rPr>
            </w:pPr>
          </w:p>
        </w:tc>
        <w:tc>
          <w:tcPr>
            <w:tcW w:w="1984" w:type="dxa"/>
          </w:tcPr>
          <w:p w14:paraId="3B5812B8" w14:textId="77777777" w:rsidR="000D7891" w:rsidRPr="00E53342" w:rsidRDefault="000D7891" w:rsidP="001E5D24">
            <w:pPr>
              <w:ind w:firstLine="284"/>
              <w:jc w:val="both"/>
              <w:rPr>
                <w:bCs/>
                <w:i/>
                <w:iCs/>
              </w:rPr>
            </w:pPr>
            <w:r w:rsidRPr="00E53342">
              <w:rPr>
                <w:shd w:val="clear" w:color="auto" w:fill="FFFFFF"/>
              </w:rPr>
              <w:t xml:space="preserve">- Bộ, ngành có trách nhiệm chủ trì, phối hợp nghiên cứu xử lý, tham mưu xử lý: </w:t>
            </w:r>
            <w:r w:rsidRPr="00E53342">
              <w:rPr>
                <w:bCs/>
                <w:i/>
                <w:iCs/>
              </w:rPr>
              <w:t>Bộ Công Thương</w:t>
            </w:r>
          </w:p>
          <w:p w14:paraId="3CD2F7BB" w14:textId="77777777" w:rsidR="000D7891" w:rsidRPr="00E53342" w:rsidRDefault="000D7891" w:rsidP="001E5D24">
            <w:pPr>
              <w:ind w:firstLine="284"/>
              <w:jc w:val="both"/>
              <w:rPr>
                <w:shd w:val="clear" w:color="auto" w:fill="FFFFFF"/>
              </w:rPr>
            </w:pPr>
            <w:r w:rsidRPr="00E53342">
              <w:rPr>
                <w:i/>
                <w:iCs/>
                <w:shd w:val="clear" w:color="auto" w:fill="FFFFFF"/>
              </w:rPr>
              <w:t xml:space="preserve">- </w:t>
            </w:r>
            <w:r w:rsidRPr="00E53342">
              <w:rPr>
                <w:shd w:val="clear" w:color="auto" w:fill="FFFFFF"/>
              </w:rPr>
              <w:t xml:space="preserve">Cơ quan kiến nghị/phản ánh: </w:t>
            </w:r>
            <w:r w:rsidRPr="00E53342">
              <w:rPr>
                <w:i/>
                <w:iCs/>
                <w:shd w:val="clear" w:color="auto" w:fill="FFFFFF"/>
              </w:rPr>
              <w:t>Bộ Tư pháp tổng hợp từ các nguồn thông tin</w:t>
            </w:r>
          </w:p>
          <w:p w14:paraId="0476A771" w14:textId="77777777" w:rsidR="000D7891" w:rsidRPr="00E53342" w:rsidRDefault="000D7891" w:rsidP="001E5D24">
            <w:pPr>
              <w:ind w:firstLine="284"/>
              <w:jc w:val="both"/>
              <w:rPr>
                <w:shd w:val="clear" w:color="auto" w:fill="FFFFFF"/>
                <w:lang w:val="vi-VN"/>
              </w:rPr>
            </w:pPr>
          </w:p>
        </w:tc>
        <w:tc>
          <w:tcPr>
            <w:tcW w:w="4820" w:type="dxa"/>
          </w:tcPr>
          <w:p w14:paraId="570239BF" w14:textId="77777777" w:rsidR="000D7891" w:rsidRPr="00E53342" w:rsidRDefault="000D7891" w:rsidP="001E5D24">
            <w:pPr>
              <w:ind w:firstLine="284"/>
              <w:jc w:val="both"/>
            </w:pPr>
            <w:r w:rsidRPr="00E53342">
              <w:t xml:space="preserve">Nghị định số 205/2025/NĐ-CP ngày 14/7/2025 của Chính phủ về việc sửa đổi, bổ sung một số điều của Nghị định số 111/2015/NĐ-CP ngày 03/11/2025 của Chính phủ về phát triển công nghiệp hỗ trợ là văn bản quy phạm pháp luật chuyên biệt nhằm đẩy mạnh các cơ chế, chinh sách phát triển công nghiệp hỗ trợ, chứ không phải là Nghị định quy định chuyên biệt về thúc đẩy khoa học, công nghệ, đổi mới sáng tạo và chuyển đổi số. </w:t>
            </w:r>
          </w:p>
          <w:p w14:paraId="0B6E27DC" w14:textId="77777777" w:rsidR="000D7891" w:rsidRPr="00E53342" w:rsidRDefault="000D7891" w:rsidP="001E5D24">
            <w:pPr>
              <w:ind w:firstLine="284"/>
              <w:jc w:val="both"/>
            </w:pPr>
            <w:r w:rsidRPr="00E53342">
              <w:t xml:space="preserve">Nghị định đã quy định cụ thể định nghĩa về ngành công nghiệp hỗ trợ tại điểm a khoản 1 Điều 1 “Công nghiệp hỗ trợ là các ngành công nghiệp sản xuất, gia công nguyên liệu, phụ liệu, vật liệu, linh kiện và phụ tùng để cung cấp cho sản xuất sản phẩm hoàn chỉnh” và các cơ chế chính sách hỗ trợ (xúc tiến thu hút đầu tư, tư vấn cải tiến, phát triển nguồn nhân lực, cơ sở dữ liệu, ... và ưu đãi (miễn, giảm thuế, tiền thuê đất mặt nước, ... ưu đãi khác theo quy định của pháp luật hiện hành). </w:t>
            </w:r>
          </w:p>
          <w:p w14:paraId="1BFBE3BD" w14:textId="77777777" w:rsidR="000D7891" w:rsidRPr="00E53342" w:rsidRDefault="000D7891" w:rsidP="001E5D24">
            <w:pPr>
              <w:ind w:firstLine="284"/>
              <w:jc w:val="both"/>
            </w:pPr>
            <w:r w:rsidRPr="00E53342">
              <w:t xml:space="preserve">Để tháo gỡ khó khăn trong việc tiếp cận chính sách, Nghị định đã quy định rõ ràng về </w:t>
            </w:r>
            <w:r w:rsidRPr="00E53342">
              <w:lastRenderedPageBreak/>
              <w:t xml:space="preserve">đối tượng, điều kiện và trình tự thủ tục cấp Giấy xác nhận ưu đãi tại khoản 9 Điều 1 (sửa đổi Điều 11) cùng các Mẫu biểu và Danh mục sản phẩm công nghiệp hỗ trợ ưu tiên phát triển kèm theo. Các Sản phẩm công nghiệp hỗ trợ thuộc Dự án được ưu đãi cần phải có hàm lượng công nghệ, trải qua các công đoạn sản xuất phù hợp với thiết kế của dây chuyền công nghệ và quy trình sản xuất đảm bảo có sự biến đổi vật lý hoặc cơ học từ nguyên liệu, vật liệu, các chất liệu khác nhau để tạo thành sản phẩm (chứ không phải lắp ráp, gia công đơn thuần) và Dự án cần có ít nhất 01 doanh nghiệp nhỏ và vừa là doanh nghiệp sản xuất và cung ứng nguyên liệu, vật liệu hoặc linh kiện, phụ tùng chính để phục vụ sản xuất sản phẩm công nghiệp hỗ trợ đề nghị xác nhận ưu đãi. </w:t>
            </w:r>
          </w:p>
          <w:p w14:paraId="295C81B5" w14:textId="77777777" w:rsidR="000D7891" w:rsidRPr="00E53342" w:rsidRDefault="000D7891" w:rsidP="001E5D24">
            <w:pPr>
              <w:jc w:val="both"/>
            </w:pPr>
            <w:r w:rsidRPr="00E53342">
              <w:t>Thực tế triển khai cho thấy hệ thống chính sách đang vận hành hiệu quả và minh bạch: từ năm 2016 đến nay, Bộ Công Thương đã ban hành hơn 300 Giấy xác nhận ưu đãi, góp phần cải thiện rõ rệt năng lực sản xuất CNHT trong nước. Việc tiếp cận chính sách hiện nay hiện khá thuận lợi thông qua hệ thống dịch vụ công toàn trình, kết hợp với các chương trình phổ biến pháp luật sâu rộng đến từng địa phương và hiệp hội, đảm bảo mọi doanh nghiệp đủ điều kiện đều có thể thụ hưởng kịp thời các nguồn lực hỗ trợ của Nhà nước</w:t>
            </w:r>
          </w:p>
        </w:tc>
      </w:tr>
      <w:tr w:rsidR="000D7891" w:rsidRPr="00E53342" w14:paraId="75EFF1C2" w14:textId="77777777" w:rsidTr="001E5D24">
        <w:trPr>
          <w:trHeight w:val="92"/>
        </w:trPr>
        <w:tc>
          <w:tcPr>
            <w:tcW w:w="709" w:type="dxa"/>
          </w:tcPr>
          <w:p w14:paraId="6AB9DFAF" w14:textId="77777777" w:rsidR="000D7891" w:rsidRPr="00E53342" w:rsidRDefault="000D7891" w:rsidP="000D7891">
            <w:pPr>
              <w:numPr>
                <w:ilvl w:val="0"/>
                <w:numId w:val="5"/>
              </w:numPr>
              <w:spacing w:line="264" w:lineRule="auto"/>
              <w:jc w:val="both"/>
            </w:pPr>
          </w:p>
        </w:tc>
        <w:tc>
          <w:tcPr>
            <w:tcW w:w="2410" w:type="dxa"/>
          </w:tcPr>
          <w:p w14:paraId="77C721A6" w14:textId="77777777" w:rsidR="000D7891" w:rsidRPr="00E53342" w:rsidRDefault="000D7891" w:rsidP="001E5D24">
            <w:pPr>
              <w:spacing w:line="264" w:lineRule="auto"/>
              <w:ind w:firstLine="340"/>
              <w:jc w:val="both"/>
            </w:pPr>
            <w:r w:rsidRPr="00E53342">
              <w:rPr>
                <w:rFonts w:eastAsia="12"/>
              </w:rPr>
              <w:t xml:space="preserve">Khoản 19 Điều 11 </w:t>
            </w:r>
            <w:r w:rsidRPr="00E53342">
              <w:rPr>
                <w:rFonts w:eastAsia="12"/>
                <w:b/>
                <w:bCs/>
                <w:i/>
                <w:iCs/>
              </w:rPr>
              <w:lastRenderedPageBreak/>
              <w:t>Thông tư 60/2025/TT-BCT ngày 02/12/2025</w:t>
            </w:r>
            <w:r w:rsidRPr="00E53342">
              <w:rPr>
                <w:rFonts w:eastAsia="12"/>
              </w:rPr>
              <w:t xml:space="preserve"> của Bộ trưởng Bộ Công Thương quy định về thực hiện giá bán điện</w:t>
            </w:r>
          </w:p>
        </w:tc>
        <w:tc>
          <w:tcPr>
            <w:tcW w:w="4111" w:type="dxa"/>
          </w:tcPr>
          <w:p w14:paraId="2D62DEC8" w14:textId="77777777" w:rsidR="000D7891" w:rsidRPr="00E53342" w:rsidRDefault="000D7891" w:rsidP="001E5D24">
            <w:pPr>
              <w:spacing w:line="264" w:lineRule="auto"/>
              <w:ind w:firstLine="340"/>
              <w:jc w:val="both"/>
            </w:pPr>
            <w:r w:rsidRPr="00E53342">
              <w:lastRenderedPageBreak/>
              <w:t xml:space="preserve">Khoản 19 Điều 11 Thông tư </w:t>
            </w:r>
            <w:r w:rsidRPr="00E53342">
              <w:lastRenderedPageBreak/>
              <w:t>60/2025/TT-BCT quy định</w:t>
            </w:r>
          </w:p>
          <w:p w14:paraId="450973B3" w14:textId="77777777" w:rsidR="000D7891" w:rsidRPr="00E53342" w:rsidRDefault="000D7891" w:rsidP="001E5D24">
            <w:pPr>
              <w:pBdr>
                <w:top w:val="nil"/>
                <w:left w:val="nil"/>
                <w:bottom w:val="nil"/>
                <w:right w:val="nil"/>
                <w:between w:val="nil"/>
              </w:pBdr>
              <w:shd w:val="clear" w:color="auto" w:fill="FFFFFF"/>
              <w:spacing w:line="264" w:lineRule="auto"/>
              <w:ind w:firstLine="340"/>
              <w:jc w:val="both"/>
            </w:pPr>
            <w:bookmarkStart w:id="1" w:name="6u5drvg713d" w:colFirst="0" w:colLast="0"/>
            <w:bookmarkEnd w:id="1"/>
            <w:r w:rsidRPr="00E53342">
              <w:rPr>
                <w:b/>
                <w:bCs/>
              </w:rPr>
              <w:t>Điều 11. Giá bán lẻ điện cho mục đích kinh doanh khác</w:t>
            </w:r>
          </w:p>
          <w:p w14:paraId="16A87A17" w14:textId="77777777" w:rsidR="000D7891" w:rsidRPr="00E53342" w:rsidRDefault="000D7891" w:rsidP="001E5D24">
            <w:pPr>
              <w:pBdr>
                <w:top w:val="nil"/>
                <w:left w:val="nil"/>
                <w:bottom w:val="nil"/>
                <w:right w:val="nil"/>
                <w:between w:val="nil"/>
              </w:pBdr>
              <w:shd w:val="clear" w:color="auto" w:fill="FFFFFF"/>
              <w:spacing w:line="264" w:lineRule="auto"/>
              <w:ind w:firstLine="340"/>
              <w:jc w:val="both"/>
            </w:pPr>
            <w:r w:rsidRPr="00E53342">
              <w:t>Giá bán lẻ điện cho mục đích kinh doanh khác áp dụng đối với bên mua điện sử dụng điện cho mục đích kinh doanh, dịch vụ bao gồm:</w:t>
            </w:r>
          </w:p>
          <w:p w14:paraId="58607296" w14:textId="77777777" w:rsidR="000D7891" w:rsidRPr="00E53342" w:rsidRDefault="000D7891" w:rsidP="001E5D24">
            <w:pPr>
              <w:pBdr>
                <w:top w:val="nil"/>
                <w:left w:val="nil"/>
                <w:bottom w:val="nil"/>
                <w:right w:val="nil"/>
                <w:between w:val="nil"/>
              </w:pBdr>
              <w:shd w:val="clear" w:color="auto" w:fill="FFFFFF"/>
              <w:spacing w:line="264" w:lineRule="auto"/>
              <w:ind w:firstLine="340"/>
              <w:jc w:val="both"/>
            </w:pPr>
            <w:r w:rsidRPr="00E53342">
              <w:t>19. Cơ sở cung cấp dịch vụ xử lý, lưu trữ và quản lý dữ liệu tập trung;</w:t>
            </w:r>
          </w:p>
          <w:p w14:paraId="0718C11B" w14:textId="77777777" w:rsidR="000D7891" w:rsidRPr="00E53342" w:rsidRDefault="000D7891" w:rsidP="001E5D24">
            <w:pPr>
              <w:pBdr>
                <w:top w:val="nil"/>
                <w:left w:val="nil"/>
                <w:bottom w:val="nil"/>
                <w:right w:val="nil"/>
                <w:between w:val="nil"/>
              </w:pBdr>
              <w:shd w:val="clear" w:color="auto" w:fill="FFFFFF"/>
              <w:spacing w:line="264" w:lineRule="auto"/>
              <w:ind w:firstLine="340"/>
              <w:jc w:val="both"/>
            </w:pPr>
            <w:r w:rsidRPr="00E53342">
              <w:t>=&gt; Giá bán điện đối với Trung tâm dữ liệu được áp dụng theo giá bán lẻ điện cho mục đích kinh doanh</w:t>
            </w:r>
          </w:p>
          <w:p w14:paraId="5BB4EFC4" w14:textId="77777777" w:rsidR="000D7891" w:rsidRPr="00E53342" w:rsidRDefault="000D7891" w:rsidP="001E5D24">
            <w:pPr>
              <w:pBdr>
                <w:top w:val="nil"/>
                <w:left w:val="nil"/>
                <w:bottom w:val="nil"/>
                <w:right w:val="nil"/>
                <w:between w:val="nil"/>
              </w:pBdr>
              <w:shd w:val="clear" w:color="auto" w:fill="FFFFFF"/>
              <w:spacing w:line="264" w:lineRule="auto"/>
              <w:ind w:firstLine="340"/>
              <w:jc w:val="both"/>
            </w:pPr>
            <w:r w:rsidRPr="00E53342">
              <w:t>Trước khi có Thông tư số 60/2025/TT-BCT, giá bán điện đối với Trung tâm dữ liệu được tính là giá điện sản xuất (áp dụng theo quy định tại khoản 9 Điều 7 Thông tư số 16/2014/TT-BCT)</w:t>
            </w:r>
          </w:p>
          <w:p w14:paraId="475F0C91" w14:textId="77777777" w:rsidR="000D7891" w:rsidRPr="00E53342" w:rsidRDefault="000D7891" w:rsidP="000D7891">
            <w:pPr>
              <w:numPr>
                <w:ilvl w:val="0"/>
                <w:numId w:val="6"/>
              </w:numPr>
              <w:pBdr>
                <w:top w:val="nil"/>
                <w:left w:val="nil"/>
                <w:bottom w:val="nil"/>
                <w:right w:val="nil"/>
                <w:between w:val="nil"/>
              </w:pBdr>
              <w:shd w:val="clear" w:color="auto" w:fill="FFFFFF"/>
              <w:spacing w:line="264" w:lineRule="auto"/>
              <w:ind w:left="13" w:firstLine="340"/>
              <w:jc w:val="both"/>
            </w:pPr>
            <w:r w:rsidRPr="00E53342">
              <w:t xml:space="preserve">Việc điều chỉnh tăng giá bán điện từ giá sản xuất sang giá điện kinh doanh làm tăng hơn 50% chi phí cho các doanh nghiệp kinh doanh trung tâm dự liệu. Điều này chưa phù hợp với định hướng, chủ chương của Nghị quyết 57: </w:t>
            </w:r>
            <w:r w:rsidRPr="00E53342">
              <w:rPr>
                <w:i/>
                <w:iCs/>
              </w:rPr>
              <w:t xml:space="preserve">“Có cơ chế, chính sách hỗ trợ các doanh nghiệp trong đầu tư, xây dựng trung tâm dữ liệu, điện toán đám </w:t>
            </w:r>
            <w:r w:rsidRPr="00E53342">
              <w:rPr>
                <w:i/>
                <w:iCs/>
              </w:rPr>
              <w:lastRenderedPageBreak/>
              <w:t>mây…”</w:t>
            </w:r>
          </w:p>
          <w:p w14:paraId="2471F2C4" w14:textId="77777777" w:rsidR="000D7891" w:rsidRPr="00E53342" w:rsidRDefault="000D7891" w:rsidP="001E5D24">
            <w:pPr>
              <w:pBdr>
                <w:top w:val="nil"/>
                <w:left w:val="nil"/>
                <w:bottom w:val="nil"/>
                <w:right w:val="nil"/>
                <w:between w:val="nil"/>
              </w:pBdr>
              <w:shd w:val="clear" w:color="auto" w:fill="FFFFFF"/>
              <w:spacing w:line="264" w:lineRule="auto"/>
              <w:ind w:left="13" w:firstLine="340"/>
              <w:jc w:val="both"/>
            </w:pPr>
            <w:r w:rsidRPr="00E53342">
              <w:t>Quy định của Thông tư số 60 cũng chưa phù hợp với Luật Viễn thông và Luật Chuyển đổi số. Cụ thể:</w:t>
            </w:r>
          </w:p>
          <w:p w14:paraId="427B05BF" w14:textId="77777777" w:rsidR="000D7891" w:rsidRPr="00E53342" w:rsidRDefault="000D7891" w:rsidP="001E5D24">
            <w:pPr>
              <w:pBdr>
                <w:top w:val="nil"/>
                <w:left w:val="nil"/>
                <w:bottom w:val="nil"/>
                <w:right w:val="nil"/>
                <w:between w:val="nil"/>
              </w:pBdr>
              <w:shd w:val="clear" w:color="auto" w:fill="FFFFFF"/>
              <w:spacing w:line="264" w:lineRule="auto"/>
              <w:ind w:left="13" w:firstLine="340"/>
              <w:jc w:val="both"/>
            </w:pPr>
            <w:r w:rsidRPr="00E53342">
              <w:t>Theo khoản 23 Điều 3 Luật Viễn thông quy định: “</w:t>
            </w:r>
            <w:r w:rsidRPr="00E53342">
              <w:rPr>
                <w:i/>
                <w:iCs/>
              </w:rPr>
              <w:t>Trung tâm dữ liệu </w:t>
            </w:r>
            <w:r w:rsidRPr="00E53342">
              <w:t>là công trình viễn thông, bao gồm nhà, trạm, hệ thống cáp, hệ thống máy tính và hệ thống điện cùng các thiết bị phụ trợ được lắp đặt vào đó để xử lý, lưu trữ và quản lý dữ liệu của một hoặc nhiều tổ chức, cá nhân”</w:t>
            </w:r>
          </w:p>
          <w:p w14:paraId="0498413D" w14:textId="77777777" w:rsidR="000D7891" w:rsidRPr="00E53342" w:rsidRDefault="000D7891" w:rsidP="001E5D24">
            <w:pPr>
              <w:pBdr>
                <w:top w:val="nil"/>
                <w:left w:val="nil"/>
                <w:bottom w:val="nil"/>
                <w:right w:val="nil"/>
                <w:between w:val="nil"/>
              </w:pBdr>
              <w:shd w:val="clear" w:color="auto" w:fill="FFFFFF"/>
              <w:spacing w:line="264" w:lineRule="auto"/>
              <w:ind w:left="13" w:firstLine="340"/>
              <w:jc w:val="both"/>
            </w:pPr>
            <w:r w:rsidRPr="00E53342">
              <w:t>Và khoản 9 Điều 3 Luật Viễn thông cũng quy định dịch vụ trung tâm dữ liệu là dịch vụ viễn thông.</w:t>
            </w:r>
          </w:p>
          <w:p w14:paraId="600B7442" w14:textId="77777777" w:rsidR="000D7891" w:rsidRPr="00E53342" w:rsidRDefault="000D7891" w:rsidP="001E5D24">
            <w:pPr>
              <w:tabs>
                <w:tab w:val="left" w:pos="3826"/>
                <w:tab w:val="right" w:leader="dot" w:pos="8640"/>
              </w:tabs>
              <w:spacing w:line="264" w:lineRule="auto"/>
              <w:ind w:right="-49" w:firstLine="340"/>
              <w:jc w:val="both"/>
              <w:rPr>
                <w:lang w:val="en-GB" w:eastAsia="en-GB"/>
              </w:rPr>
            </w:pPr>
            <w:r w:rsidRPr="00E53342">
              <w:t xml:space="preserve">Theo khoản 2 Điều 3 Luật Chuyển đổi số quy định trung tâm dự liệu là một bộ phận của hạ tầng số. Khoản 1 Điều 23 Luật Chuyển đổi số cũng quy định: “Cơ quan quản lý nhà nước về điện lực chủ trì xây dựng, ban hành hoặc trình cấp có thẩm quyền ban hành, điều chỉnh, bổ sung quy hoạch phát triển điện lực quốc gia để bảo đảm đáp ứng nguồn điện xanh, sạch, bảo đảm dự phòng cho các trung tâm dữ liệu; chỉ đạo các đơn vị điện lực ưu tiên bố trí nguồn điện ổn </w:t>
            </w:r>
            <w:r w:rsidRPr="00E53342">
              <w:lastRenderedPageBreak/>
              <w:t>định, chất lượng cao tại các khu vực được quy hoạch phát triển trung tâm dữ liệu, phù hợp với Quy hoạch hạ tầng thông tin và truyền thông, Chiến lược hạ tầng số và quy hoạch tỉnh”</w:t>
            </w:r>
          </w:p>
        </w:tc>
        <w:tc>
          <w:tcPr>
            <w:tcW w:w="1701" w:type="dxa"/>
          </w:tcPr>
          <w:p w14:paraId="32780389" w14:textId="77777777" w:rsidR="000D7891" w:rsidRPr="00E53342" w:rsidRDefault="000D7891" w:rsidP="001E5D24">
            <w:pPr>
              <w:tabs>
                <w:tab w:val="right" w:leader="dot" w:pos="8640"/>
              </w:tabs>
              <w:spacing w:line="264" w:lineRule="auto"/>
              <w:ind w:right="-49" w:firstLine="340"/>
              <w:jc w:val="both"/>
              <w:rPr>
                <w:lang w:val="en-GB" w:eastAsia="en-GB"/>
              </w:rPr>
            </w:pPr>
            <w:r w:rsidRPr="00E53342">
              <w:rPr>
                <w:rFonts w:eastAsia="12"/>
              </w:rPr>
              <w:lastRenderedPageBreak/>
              <w:t xml:space="preserve">Sửa đổi </w:t>
            </w:r>
            <w:r w:rsidRPr="00E53342">
              <w:rPr>
                <w:rFonts w:eastAsia="12"/>
              </w:rPr>
              <w:lastRenderedPageBreak/>
              <w:t>Thông tư 60/2025/TT-BTC theo hướng bỏ khoản 19 Điều 11.</w:t>
            </w:r>
          </w:p>
        </w:tc>
        <w:tc>
          <w:tcPr>
            <w:tcW w:w="1984" w:type="dxa"/>
          </w:tcPr>
          <w:p w14:paraId="412C6667" w14:textId="77777777" w:rsidR="000D7891" w:rsidRPr="00E53342" w:rsidRDefault="000D7891" w:rsidP="001E5D24">
            <w:pPr>
              <w:spacing w:line="264" w:lineRule="auto"/>
              <w:ind w:firstLine="340"/>
              <w:jc w:val="both"/>
              <w:rPr>
                <w:i/>
                <w:iCs/>
                <w:lang w:val="vi-VN"/>
              </w:rPr>
            </w:pPr>
            <w:r w:rsidRPr="00E53342">
              <w:rPr>
                <w:bCs/>
              </w:rPr>
              <w:lastRenderedPageBreak/>
              <w:t xml:space="preserve">- Bộ, ngành có </w:t>
            </w:r>
            <w:r w:rsidRPr="00E53342">
              <w:rPr>
                <w:bCs/>
              </w:rPr>
              <w:lastRenderedPageBreak/>
              <w:t xml:space="preserve">trách nhiệm chủ trì, phối hợp nghiên cứu xử lý, tham mưu xử lý: </w:t>
            </w:r>
            <w:r w:rsidRPr="00E53342">
              <w:rPr>
                <w:i/>
                <w:iCs/>
              </w:rPr>
              <w:t>Bộ Công Thương</w:t>
            </w:r>
          </w:p>
          <w:p w14:paraId="5F6149C5" w14:textId="77777777" w:rsidR="000D7891" w:rsidRPr="00E53342" w:rsidRDefault="000D7891" w:rsidP="001E5D24">
            <w:pPr>
              <w:spacing w:line="264" w:lineRule="auto"/>
              <w:ind w:firstLine="340"/>
              <w:jc w:val="both"/>
              <w:rPr>
                <w:shd w:val="clear" w:color="auto" w:fill="FFFFFF"/>
              </w:rPr>
            </w:pPr>
            <w:r w:rsidRPr="00E53342">
              <w:rPr>
                <w:i/>
                <w:iCs/>
                <w:shd w:val="clear" w:color="auto" w:fill="FFFFFF"/>
              </w:rPr>
              <w:t xml:space="preserve">- </w:t>
            </w:r>
            <w:r w:rsidRPr="00E53342">
              <w:rPr>
                <w:shd w:val="clear" w:color="auto" w:fill="FFFFFF"/>
              </w:rPr>
              <w:t xml:space="preserve">Cơ quan kiến nghị/phản ánh: </w:t>
            </w:r>
            <w:r w:rsidRPr="00E53342">
              <w:rPr>
                <w:i/>
                <w:iCs/>
                <w:shd w:val="clear" w:color="auto" w:fill="FFFFFF"/>
              </w:rPr>
              <w:t>Tập đoàn Viettel</w:t>
            </w:r>
          </w:p>
          <w:p w14:paraId="3257E7EE" w14:textId="77777777" w:rsidR="000D7891" w:rsidRPr="00E53342" w:rsidRDefault="000D7891" w:rsidP="001E5D24">
            <w:pPr>
              <w:spacing w:line="264" w:lineRule="auto"/>
              <w:ind w:firstLine="340"/>
              <w:jc w:val="both"/>
              <w:rPr>
                <w:shd w:val="clear" w:color="auto" w:fill="FFFFFF"/>
                <w:lang w:val="vi-VN"/>
              </w:rPr>
            </w:pPr>
          </w:p>
        </w:tc>
        <w:tc>
          <w:tcPr>
            <w:tcW w:w="4820" w:type="dxa"/>
          </w:tcPr>
          <w:p w14:paraId="7169555F" w14:textId="77777777" w:rsidR="000D7891" w:rsidRPr="00E53342" w:rsidRDefault="000D7891" w:rsidP="001E5D24">
            <w:pPr>
              <w:spacing w:line="264" w:lineRule="auto"/>
              <w:ind w:firstLine="340"/>
              <w:jc w:val="both"/>
            </w:pPr>
            <w:r w:rsidRPr="00E53342">
              <w:rPr>
                <w:bCs/>
              </w:rPr>
              <w:lastRenderedPageBreak/>
              <w:t xml:space="preserve">Quy định tại khoản 19 Điều 11 </w:t>
            </w:r>
            <w:r w:rsidRPr="00E53342">
              <w:t xml:space="preserve">Thông tư số </w:t>
            </w:r>
            <w:r w:rsidRPr="00E53342">
              <w:lastRenderedPageBreak/>
              <w:t xml:space="preserve">60/2025/TT-BCT không tạo gánh nặng chi phí tuân thủ và không gây hạn chế sự phát triển KHCN, ĐMST, CĐS. </w:t>
            </w:r>
          </w:p>
          <w:p w14:paraId="70FD1B63" w14:textId="77777777" w:rsidR="000D7891" w:rsidRPr="00E53342" w:rsidRDefault="000D7891" w:rsidP="001E5D24">
            <w:pPr>
              <w:spacing w:line="264" w:lineRule="auto"/>
              <w:ind w:firstLine="340"/>
              <w:jc w:val="both"/>
              <w:rPr>
                <w:bCs/>
              </w:rPr>
            </w:pPr>
            <w:r w:rsidRPr="00E53342">
              <w:rPr>
                <w:bCs/>
              </w:rPr>
              <w:t>Để đáp ứng thực tiễn, căn cứ ý kiến của một số doanh nghiệp, hiệp hội về việc cần quy định cụ thể giá bán lẻ điện áp dụng cho trung tâm dữ liệu (TTDL), Bộ Công Thương đã bổ sung quy định về việc áp giá cho “</w:t>
            </w:r>
            <w:r w:rsidRPr="00E53342">
              <w:rPr>
                <w:bCs/>
                <w:i/>
                <w:iCs/>
              </w:rPr>
              <w:t>Cơ sở cung cấp dịch vụ xử lý, lưu trữ và quản lý dữ liệu tập trung</w:t>
            </w:r>
            <w:r w:rsidRPr="00E53342">
              <w:rPr>
                <w:bCs/>
              </w:rPr>
              <w:t>” tại khoản 19 Điều 11 Thông tư số 60/2025/TT-BCT. Quy định này được xây dựng trên cơ sở quy định tại Luật Viễn thông 2023 và Quyết định số 36/2025/QĐ-TTg ngày 29/9/2025 của Thủ tướng Chính phủ ban hành Quyết định Hệ thống ngành kinh tế Việt Nam, theo đó TTDL của một doanh nghiệp là cơ sở vật chất lưu trữ và xử lý dữ liệu số cho chính doanh nghiệp đó để phục vụ hoạt động sản xuất, kinh doanh của doanh nghiệp hoặc cũng có thể cung cấp dịch vụ cho các tổ chức, doanh nghiệp, cá nhân khác.</w:t>
            </w:r>
          </w:p>
          <w:p w14:paraId="3910AB2A" w14:textId="77777777" w:rsidR="000D7891" w:rsidRPr="00E53342" w:rsidRDefault="000D7891" w:rsidP="001E5D24">
            <w:pPr>
              <w:spacing w:line="264" w:lineRule="auto"/>
              <w:ind w:firstLine="340"/>
              <w:jc w:val="both"/>
              <w:rPr>
                <w:bCs/>
              </w:rPr>
            </w:pPr>
            <w:r w:rsidRPr="00E53342">
              <w:rPr>
                <w:bCs/>
              </w:rPr>
              <w:t>Như vậy, tại khoản 19 Điều 11 Thông tư số 60/2025/TT-BCT quy định “</w:t>
            </w:r>
            <w:r w:rsidRPr="00E53342">
              <w:rPr>
                <w:bCs/>
                <w:i/>
                <w:iCs/>
              </w:rPr>
              <w:t>Cơ sở cung cấp dịch vụ xử lý, lưu trữ và quản lý dữ liệu tập trung</w:t>
            </w:r>
            <w:r w:rsidRPr="00E53342">
              <w:rPr>
                <w:bCs/>
              </w:rPr>
              <w:t xml:space="preserve">” thì áp dụng giá bán lẻ điện theo mục đích kinh doanh; nếu TTDL phục vụ mục đích của chính doanh nghiệp đó mà không cung cấp </w:t>
            </w:r>
            <w:r w:rsidRPr="00E53342">
              <w:rPr>
                <w:bCs/>
              </w:rPr>
              <w:lastRenderedPageBreak/>
              <w:t>dịch vụ xử lý, lưu trữ và quản lý dữ liệu cho bên thứ ba thì sẽ áp dụng giá theo mục đích tại Hợp đồng mua bán điện của doanh nghiệp; trường hợp TTDL được đầu tư để phục vụ mục đích của doanh nghiệp và có một phần cung cấp dịch vụ xử lý, lưu trữ và quản lý dữ liệu cho bên thứ ba thì sẽ được áp giá bán lẻ điện theo mục đích sử dụng điện căn cứ việc thỏa thuận tỷ lệ sản lượng điện sử dụng cho từng mục đích theo quy định tại điểm b khoản 3 Điều 3 Thông tư số 60/2025/TT-BCT. Việc quy định nêu trên là phù hợp với định hướng, chỉ đạo tại Nghị quyết số 70-NQ/TW ngày 20/8/2025 của Bộ Chính trị về bảo đảm an ninh năng lượng quốc gia đến năm 2030, tầm nhìn đến năm 2045 về việc không bù chéo giá điện giữa các nhóm khách hàng.</w:t>
            </w:r>
          </w:p>
          <w:p w14:paraId="4F832A05" w14:textId="77777777" w:rsidR="000D7891" w:rsidRPr="00E53342" w:rsidRDefault="000D7891" w:rsidP="001E5D24">
            <w:pPr>
              <w:spacing w:line="264" w:lineRule="auto"/>
              <w:ind w:firstLine="340"/>
              <w:jc w:val="both"/>
            </w:pPr>
            <w:r w:rsidRPr="00E53342">
              <w:rPr>
                <w:bCs/>
              </w:rPr>
              <w:t>Bộ Công Thương đã nhận được kiến nghị của một số doanh nghiệp viễn thông về việc áp dụng giá điện cho TTDL và hiện đang nghiên cứu để hướng dẫn thực hiện cho phù hợp.</w:t>
            </w:r>
          </w:p>
        </w:tc>
      </w:tr>
      <w:tr w:rsidR="000D7891" w:rsidRPr="00E53342" w14:paraId="7BB18257" w14:textId="77777777" w:rsidTr="001E5D24">
        <w:trPr>
          <w:trHeight w:val="92"/>
        </w:trPr>
        <w:tc>
          <w:tcPr>
            <w:tcW w:w="709" w:type="dxa"/>
          </w:tcPr>
          <w:p w14:paraId="111A878E" w14:textId="77777777" w:rsidR="000D7891" w:rsidRPr="00E53342" w:rsidRDefault="000D7891" w:rsidP="000D7891">
            <w:pPr>
              <w:numPr>
                <w:ilvl w:val="0"/>
                <w:numId w:val="5"/>
              </w:numPr>
              <w:spacing w:line="264" w:lineRule="auto"/>
              <w:jc w:val="both"/>
            </w:pPr>
          </w:p>
        </w:tc>
        <w:tc>
          <w:tcPr>
            <w:tcW w:w="2410" w:type="dxa"/>
          </w:tcPr>
          <w:p w14:paraId="41CF119A" w14:textId="77777777" w:rsidR="000D7891" w:rsidRPr="00E53342" w:rsidRDefault="000D7891" w:rsidP="001E5D24">
            <w:pPr>
              <w:spacing w:line="264" w:lineRule="auto"/>
              <w:ind w:firstLine="340"/>
              <w:jc w:val="both"/>
            </w:pPr>
            <w:r w:rsidRPr="00E53342">
              <w:t>Chưa có quy định pháp luật</w:t>
            </w:r>
          </w:p>
          <w:p w14:paraId="3FE31192" w14:textId="77777777" w:rsidR="000D7891" w:rsidRPr="00E53342" w:rsidRDefault="000D7891" w:rsidP="001E5D24">
            <w:pPr>
              <w:spacing w:line="264" w:lineRule="auto"/>
              <w:ind w:firstLine="340"/>
              <w:jc w:val="both"/>
            </w:pPr>
          </w:p>
        </w:tc>
        <w:tc>
          <w:tcPr>
            <w:tcW w:w="4111" w:type="dxa"/>
          </w:tcPr>
          <w:p w14:paraId="0525D29A" w14:textId="77777777" w:rsidR="000D7891" w:rsidRPr="00E53342" w:rsidRDefault="000D7891" w:rsidP="001E5D24">
            <w:pPr>
              <w:spacing w:line="264" w:lineRule="auto"/>
              <w:ind w:firstLine="340"/>
              <w:jc w:val="both"/>
              <w:rPr>
                <w:bCs/>
              </w:rPr>
            </w:pPr>
            <w:r w:rsidRPr="00E53342">
              <w:rPr>
                <w:bCs/>
              </w:rPr>
              <w:t>Gói chính sách thực chất cho đầu tư số và phát triển xanh:</w:t>
            </w:r>
          </w:p>
          <w:p w14:paraId="170D1924" w14:textId="77777777" w:rsidR="000D7891" w:rsidRPr="00E53342" w:rsidRDefault="000D7891" w:rsidP="001E5D24">
            <w:pPr>
              <w:spacing w:line="264" w:lineRule="auto"/>
              <w:ind w:firstLine="340"/>
              <w:jc w:val="both"/>
              <w:rPr>
                <w:bCs/>
              </w:rPr>
            </w:pPr>
            <w:r w:rsidRPr="00E53342">
              <w:rPr>
                <w:bCs/>
              </w:rPr>
              <w:t>Cho phép khấu trừ nhanh chi phí đầu vào đối với đầu tư số, cung cấp tín dụng ưu đãi và công nhận phần mềm lõi là tài sản ưu đãi đầu tư.</w:t>
            </w:r>
          </w:p>
          <w:p w14:paraId="6C8A4095" w14:textId="77777777" w:rsidR="000D7891" w:rsidRPr="00E53342" w:rsidRDefault="000D7891" w:rsidP="001E5D24">
            <w:pPr>
              <w:tabs>
                <w:tab w:val="left" w:pos="3826"/>
                <w:tab w:val="right" w:leader="dot" w:pos="8640"/>
              </w:tabs>
              <w:spacing w:line="264" w:lineRule="auto"/>
              <w:ind w:right="-49" w:firstLine="340"/>
              <w:jc w:val="both"/>
            </w:pPr>
            <w:r w:rsidRPr="00E53342">
              <w:rPr>
                <w:bCs/>
              </w:rPr>
              <w:t>Đối với kinh tế tuần hoàn, cần có danh mục phân loại xanh cho nông nghiệp, tín dụng xanh dài hạn, cơ chế giao dịch tín chỉ carbon nông nghiệp và ưu đãi thuế cho điện sinh khối/điện mặt trời tại vùng trồng.</w:t>
            </w:r>
          </w:p>
        </w:tc>
        <w:tc>
          <w:tcPr>
            <w:tcW w:w="1701" w:type="dxa"/>
          </w:tcPr>
          <w:p w14:paraId="0EDC916A" w14:textId="77777777" w:rsidR="000D7891" w:rsidRPr="00E53342" w:rsidRDefault="000D7891" w:rsidP="001E5D24">
            <w:pPr>
              <w:tabs>
                <w:tab w:val="right" w:leader="dot" w:pos="8640"/>
              </w:tabs>
              <w:spacing w:line="264" w:lineRule="auto"/>
              <w:ind w:right="-49" w:firstLine="340"/>
              <w:jc w:val="both"/>
            </w:pPr>
          </w:p>
        </w:tc>
        <w:tc>
          <w:tcPr>
            <w:tcW w:w="1984" w:type="dxa"/>
          </w:tcPr>
          <w:p w14:paraId="3EC33798" w14:textId="77777777" w:rsidR="000D7891" w:rsidRPr="00E53342" w:rsidRDefault="000D7891" w:rsidP="001E5D24">
            <w:pPr>
              <w:spacing w:line="264" w:lineRule="auto"/>
              <w:ind w:firstLine="340"/>
              <w:jc w:val="both"/>
              <w:rPr>
                <w:shd w:val="clear" w:color="auto" w:fill="FFFFFF"/>
              </w:rPr>
            </w:pPr>
            <w:r w:rsidRPr="00E53342">
              <w:rPr>
                <w:shd w:val="clear" w:color="auto" w:fill="FFFFFF"/>
              </w:rPr>
              <w:t xml:space="preserve">- Bộ, ngành có trách nhiệm chủ trì, phối hợp nghiên cứu xử lý, tham mưu xử lý: </w:t>
            </w:r>
            <w:r w:rsidRPr="00E53342">
              <w:rPr>
                <w:i/>
                <w:iCs/>
                <w:shd w:val="clear" w:color="auto" w:fill="FFFFFF"/>
              </w:rPr>
              <w:t>Bộ Nông nghiệp và Môi trường, Bộ Công Thương</w:t>
            </w:r>
          </w:p>
          <w:p w14:paraId="6238A2E0" w14:textId="77777777" w:rsidR="000D7891" w:rsidRPr="00E53342" w:rsidRDefault="000D7891" w:rsidP="001E5D24">
            <w:pPr>
              <w:spacing w:line="264" w:lineRule="auto"/>
              <w:ind w:firstLine="340"/>
              <w:jc w:val="both"/>
              <w:rPr>
                <w:bCs/>
              </w:rPr>
            </w:pPr>
            <w:r w:rsidRPr="00E53342">
              <w:rPr>
                <w:i/>
                <w:iCs/>
                <w:shd w:val="clear" w:color="auto" w:fill="FFFFFF"/>
              </w:rPr>
              <w:t xml:space="preserve">- </w:t>
            </w:r>
            <w:r w:rsidRPr="00E53342">
              <w:rPr>
                <w:shd w:val="clear" w:color="auto" w:fill="FFFFFF"/>
              </w:rPr>
              <w:t xml:space="preserve">Cơ quan kiến nghị/phản ánh: </w:t>
            </w:r>
            <w:r w:rsidRPr="00E53342">
              <w:rPr>
                <w:i/>
                <w:iCs/>
                <w:shd w:val="clear" w:color="auto" w:fill="FFFFFF"/>
              </w:rPr>
              <w:t>Bộ Tư pháp tổng hợp từ các nguồn thông tin</w:t>
            </w:r>
          </w:p>
        </w:tc>
        <w:tc>
          <w:tcPr>
            <w:tcW w:w="4820" w:type="dxa"/>
          </w:tcPr>
          <w:p w14:paraId="31CD515B" w14:textId="77777777" w:rsidR="000D7891" w:rsidRPr="00693DC5" w:rsidRDefault="000D7891" w:rsidP="001E5D24">
            <w:pPr>
              <w:jc w:val="both"/>
              <w:rPr>
                <w:b/>
                <w:bCs/>
                <w:szCs w:val="20"/>
              </w:rPr>
            </w:pPr>
            <w:r w:rsidRPr="00693DC5">
              <w:rPr>
                <w:rStyle w:val="fontstyle01"/>
                <w:sz w:val="24"/>
                <w:szCs w:val="24"/>
              </w:rPr>
              <w:t>Kiến</w:t>
            </w:r>
            <w:r>
              <w:rPr>
                <w:rStyle w:val="fontstyle01"/>
                <w:sz w:val="24"/>
                <w:szCs w:val="24"/>
              </w:rPr>
              <w:t xml:space="preserve"> </w:t>
            </w:r>
            <w:r w:rsidRPr="00693DC5">
              <w:rPr>
                <w:rStyle w:val="fontstyle01"/>
                <w:sz w:val="24"/>
                <w:szCs w:val="24"/>
              </w:rPr>
              <w:t>nghị nêu trên về định hướng bám sát chủ</w:t>
            </w:r>
            <w:r w:rsidRPr="00693DC5">
              <w:rPr>
                <w:rFonts w:ascii="TimesNewRomanPSMT" w:hAnsi="TimesNewRomanPSMT"/>
                <w:b/>
                <w:bCs/>
                <w:color w:val="000000"/>
                <w:sz w:val="22"/>
                <w:szCs w:val="22"/>
              </w:rPr>
              <w:br/>
            </w:r>
            <w:r w:rsidRPr="00693DC5">
              <w:rPr>
                <w:rStyle w:val="fontstyle01"/>
                <w:sz w:val="24"/>
                <w:szCs w:val="24"/>
              </w:rPr>
              <w:t>trương thúc đẩy chuyển đổi số, tăng</w:t>
            </w:r>
            <w:r w:rsidRPr="00693DC5">
              <w:rPr>
                <w:rFonts w:ascii="TimesNewRomanPSMT" w:hAnsi="TimesNewRomanPSMT"/>
                <w:b/>
                <w:bCs/>
                <w:color w:val="000000"/>
                <w:sz w:val="22"/>
                <w:szCs w:val="22"/>
              </w:rPr>
              <w:br/>
            </w:r>
            <w:r w:rsidRPr="00693DC5">
              <w:rPr>
                <w:rStyle w:val="fontstyle01"/>
                <w:sz w:val="24"/>
                <w:szCs w:val="24"/>
              </w:rPr>
              <w:t>trưởng xanh và kinh tế tuần hoàn. Các</w:t>
            </w:r>
            <w:r w:rsidRPr="00693DC5">
              <w:rPr>
                <w:rFonts w:ascii="TimesNewRomanPSMT" w:hAnsi="TimesNewRomanPSMT"/>
                <w:b/>
                <w:bCs/>
                <w:color w:val="000000"/>
                <w:sz w:val="22"/>
                <w:szCs w:val="22"/>
              </w:rPr>
              <w:br/>
            </w:r>
            <w:r w:rsidRPr="00693DC5">
              <w:rPr>
                <w:rStyle w:val="fontstyle01"/>
                <w:sz w:val="24"/>
                <w:szCs w:val="24"/>
              </w:rPr>
              <w:t>giải pháp như ưu đãi thuế, tín dụng xanh,</w:t>
            </w:r>
            <w:r w:rsidRPr="00693DC5">
              <w:rPr>
                <w:rFonts w:ascii="TimesNewRomanPSMT" w:hAnsi="TimesNewRomanPSMT"/>
                <w:b/>
                <w:bCs/>
                <w:color w:val="000000"/>
                <w:sz w:val="22"/>
                <w:szCs w:val="22"/>
              </w:rPr>
              <w:br/>
            </w:r>
            <w:r w:rsidRPr="00693DC5">
              <w:rPr>
                <w:rStyle w:val="fontstyle01"/>
                <w:sz w:val="24"/>
                <w:szCs w:val="24"/>
              </w:rPr>
              <w:t>thị trường carbon mang tính khuyến</w:t>
            </w:r>
            <w:r w:rsidRPr="00693DC5">
              <w:rPr>
                <w:rFonts w:ascii="TimesNewRomanPSMT" w:hAnsi="TimesNewRomanPSMT"/>
                <w:b/>
                <w:bCs/>
                <w:color w:val="000000"/>
                <w:sz w:val="22"/>
                <w:szCs w:val="22"/>
              </w:rPr>
              <w:br/>
            </w:r>
            <w:r w:rsidRPr="00693DC5">
              <w:rPr>
                <w:rStyle w:val="fontstyle01"/>
                <w:sz w:val="24"/>
                <w:szCs w:val="24"/>
              </w:rPr>
              <w:t>khích và phù hợp cơ chế thị trường. Tuy</w:t>
            </w:r>
            <w:r w:rsidRPr="00693DC5">
              <w:rPr>
                <w:rFonts w:ascii="TimesNewRomanPSMT" w:hAnsi="TimesNewRomanPSMT"/>
                <w:b/>
                <w:bCs/>
                <w:color w:val="000000"/>
                <w:sz w:val="22"/>
                <w:szCs w:val="22"/>
              </w:rPr>
              <w:br/>
            </w:r>
            <w:r w:rsidRPr="00693DC5">
              <w:rPr>
                <w:rStyle w:val="fontstyle01"/>
                <w:sz w:val="24"/>
                <w:szCs w:val="24"/>
              </w:rPr>
              <w:t>nhiên, nội dung kiến nghị còn chưa đầy</w:t>
            </w:r>
            <w:r w:rsidRPr="00693DC5">
              <w:rPr>
                <w:rFonts w:ascii="TimesNewRomanPSMT" w:hAnsi="TimesNewRomanPSMT"/>
                <w:b/>
                <w:bCs/>
                <w:color w:val="000000"/>
                <w:sz w:val="22"/>
                <w:szCs w:val="22"/>
              </w:rPr>
              <w:br/>
            </w:r>
            <w:r w:rsidRPr="00693DC5">
              <w:rPr>
                <w:rStyle w:val="fontstyle01"/>
                <w:sz w:val="24"/>
                <w:szCs w:val="24"/>
              </w:rPr>
              <w:t>đủ căn cứ pháp lý và tiêu chí cụ thể, chưa</w:t>
            </w:r>
            <w:r w:rsidRPr="00693DC5">
              <w:rPr>
                <w:rFonts w:ascii="TimesNewRomanPSMT" w:hAnsi="TimesNewRomanPSMT"/>
                <w:b/>
                <w:bCs/>
                <w:color w:val="000000"/>
                <w:sz w:val="22"/>
                <w:szCs w:val="22"/>
              </w:rPr>
              <w:br/>
            </w:r>
            <w:r w:rsidRPr="00693DC5">
              <w:rPr>
                <w:rStyle w:val="fontstyle01"/>
                <w:sz w:val="24"/>
                <w:szCs w:val="24"/>
              </w:rPr>
              <w:t>làm rõ thẩm quyền ban hành. Đồng thời,</w:t>
            </w:r>
            <w:r w:rsidRPr="00693DC5">
              <w:rPr>
                <w:rFonts w:ascii="TimesNewRomanPSMT" w:hAnsi="TimesNewRomanPSMT"/>
                <w:b/>
                <w:bCs/>
                <w:color w:val="000000"/>
                <w:sz w:val="22"/>
                <w:szCs w:val="22"/>
              </w:rPr>
              <w:br/>
            </w:r>
            <w:r w:rsidRPr="00693DC5">
              <w:rPr>
                <w:rStyle w:val="fontstyle01"/>
                <w:sz w:val="24"/>
                <w:szCs w:val="24"/>
              </w:rPr>
              <w:t>thiếu đánh giá tác động và nguồn lực</w:t>
            </w:r>
            <w:r w:rsidRPr="00693DC5">
              <w:rPr>
                <w:rFonts w:ascii="TimesNewRomanPSMT" w:hAnsi="TimesNewRomanPSMT"/>
                <w:b/>
                <w:bCs/>
                <w:color w:val="000000"/>
                <w:sz w:val="22"/>
                <w:szCs w:val="22"/>
              </w:rPr>
              <w:br/>
            </w:r>
            <w:r w:rsidRPr="00693DC5">
              <w:rPr>
                <w:rStyle w:val="fontstyle01"/>
                <w:sz w:val="24"/>
                <w:szCs w:val="24"/>
              </w:rPr>
              <w:t>thực hiện.</w:t>
            </w:r>
          </w:p>
          <w:p w14:paraId="2CB6CBB4" w14:textId="77777777" w:rsidR="000D7891" w:rsidRPr="00E53342" w:rsidRDefault="000D7891" w:rsidP="001E5D24">
            <w:pPr>
              <w:spacing w:line="264" w:lineRule="auto"/>
              <w:ind w:firstLine="340"/>
              <w:jc w:val="both"/>
              <w:rPr>
                <w:shd w:val="clear" w:color="auto" w:fill="FFFFFF"/>
              </w:rPr>
            </w:pPr>
          </w:p>
        </w:tc>
      </w:tr>
    </w:tbl>
    <w:p w14:paraId="63E24E85" w14:textId="77777777" w:rsidR="000D7891" w:rsidRPr="00E53342" w:rsidRDefault="000D7891" w:rsidP="000D7891">
      <w:pPr>
        <w:spacing w:before="120" w:after="120" w:line="264" w:lineRule="auto"/>
        <w:jc w:val="both"/>
        <w:rPr>
          <w:bCs/>
        </w:rPr>
      </w:pPr>
      <w:r w:rsidRPr="00E53342">
        <w:rPr>
          <w:bCs/>
        </w:rPr>
        <w:tab/>
      </w:r>
      <w:r w:rsidRPr="00E53342">
        <w:rPr>
          <w:bCs/>
        </w:rPr>
        <w:tab/>
      </w:r>
      <w:r w:rsidRPr="00E53342">
        <w:rPr>
          <w:bCs/>
        </w:rPr>
        <w:tab/>
      </w:r>
      <w:r w:rsidRPr="00E53342">
        <w:rPr>
          <w:bCs/>
        </w:rPr>
        <w:tab/>
      </w:r>
    </w:p>
    <w:p w14:paraId="5A504EE3" w14:textId="264E3F20" w:rsidR="00FD7C22" w:rsidRDefault="00FD7C22" w:rsidP="005869B5">
      <w:pPr>
        <w:pStyle w:val="NormalWeb"/>
        <w:spacing w:before="0" w:beforeAutospacing="0" w:after="0" w:afterAutospacing="0"/>
        <w:jc w:val="both"/>
        <w:textAlignment w:val="baseline"/>
      </w:pPr>
    </w:p>
    <w:sectPr w:rsidR="00FD7C22" w:rsidSect="001D14D6">
      <w:headerReference w:type="default" r:id="rId8"/>
      <w:footerReference w:type="even" r:id="rId9"/>
      <w:footerReference w:type="default" r:id="rId10"/>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F20A" w14:textId="77777777" w:rsidR="00A63630" w:rsidRDefault="00A63630" w:rsidP="00DA11D5">
      <w:r>
        <w:separator/>
      </w:r>
    </w:p>
  </w:endnote>
  <w:endnote w:type="continuationSeparator" w:id="0">
    <w:p w14:paraId="2D0ECC20" w14:textId="77777777" w:rsidR="00A63630" w:rsidRDefault="00A63630" w:rsidP="00DA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12">
    <w:altName w:val="Calibri"/>
    <w:charset w:val="00"/>
    <w:family w:val="auto"/>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53C4" w14:textId="77777777" w:rsidR="003A06F6" w:rsidRDefault="00A63630"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96570" w14:textId="77777777" w:rsidR="003A06F6" w:rsidRDefault="00A63630" w:rsidP="00A411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3C3CE" w14:textId="77777777" w:rsidR="003A06F6" w:rsidRDefault="00A63630" w:rsidP="00A411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FA35F" w14:textId="77777777" w:rsidR="00A63630" w:rsidRDefault="00A63630" w:rsidP="00DA11D5">
      <w:r>
        <w:separator/>
      </w:r>
    </w:p>
  </w:footnote>
  <w:footnote w:type="continuationSeparator" w:id="0">
    <w:p w14:paraId="7FAB1FE1" w14:textId="77777777" w:rsidR="00A63630" w:rsidRDefault="00A63630" w:rsidP="00DA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E792" w14:textId="77777777" w:rsidR="003A06F6" w:rsidRDefault="00A63630">
    <w:pPr>
      <w:pStyle w:val="Header"/>
      <w:jc w:val="center"/>
    </w:pPr>
    <w:r>
      <w:fldChar w:fldCharType="begin"/>
    </w:r>
    <w:r>
      <w:instrText xml:space="preserve"> PAGE   \* MERGEFORMAT </w:instrText>
    </w:r>
    <w:r>
      <w:fldChar w:fldCharType="separate"/>
    </w:r>
    <w:r w:rsidR="00420C3F">
      <w:rPr>
        <w:noProof/>
      </w:rPr>
      <w:t>3</w:t>
    </w:r>
    <w:r>
      <w:rPr>
        <w:noProof/>
      </w:rPr>
      <w:fldChar w:fldCharType="end"/>
    </w:r>
  </w:p>
  <w:p w14:paraId="392CA19C" w14:textId="77777777" w:rsidR="003A06F6" w:rsidRDefault="00A63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94B3B"/>
    <w:multiLevelType w:val="multilevel"/>
    <w:tmpl w:val="918C25DA"/>
    <w:lvl w:ilvl="0">
      <w:start w:val="1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E11E11"/>
    <w:multiLevelType w:val="hybridMultilevel"/>
    <w:tmpl w:val="2AC0898E"/>
    <w:lvl w:ilvl="0" w:tplc="009CB54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C80C92"/>
    <w:multiLevelType w:val="hybridMultilevel"/>
    <w:tmpl w:val="FDAC4E3E"/>
    <w:lvl w:ilvl="0" w:tplc="ED965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71673"/>
    <w:multiLevelType w:val="hybridMultilevel"/>
    <w:tmpl w:val="1B56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4339E"/>
    <w:multiLevelType w:val="hybridMultilevel"/>
    <w:tmpl w:val="805A87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05"/>
    <w:rsid w:val="00006655"/>
    <w:rsid w:val="000067D6"/>
    <w:rsid w:val="0001384F"/>
    <w:rsid w:val="00014E40"/>
    <w:rsid w:val="000226B6"/>
    <w:rsid w:val="000347D2"/>
    <w:rsid w:val="00035B9E"/>
    <w:rsid w:val="00045226"/>
    <w:rsid w:val="000513D4"/>
    <w:rsid w:val="00054860"/>
    <w:rsid w:val="000608B9"/>
    <w:rsid w:val="00072AD0"/>
    <w:rsid w:val="000745CB"/>
    <w:rsid w:val="00077B73"/>
    <w:rsid w:val="000813EC"/>
    <w:rsid w:val="0008385D"/>
    <w:rsid w:val="000840E5"/>
    <w:rsid w:val="00085B8F"/>
    <w:rsid w:val="00090A4C"/>
    <w:rsid w:val="000B08EA"/>
    <w:rsid w:val="000B430C"/>
    <w:rsid w:val="000C0AFC"/>
    <w:rsid w:val="000C21BA"/>
    <w:rsid w:val="000C3B1F"/>
    <w:rsid w:val="000C3C1F"/>
    <w:rsid w:val="000D4E68"/>
    <w:rsid w:val="000D7891"/>
    <w:rsid w:val="000E4622"/>
    <w:rsid w:val="000F375B"/>
    <w:rsid w:val="000F772B"/>
    <w:rsid w:val="00110248"/>
    <w:rsid w:val="001109F2"/>
    <w:rsid w:val="00113E0A"/>
    <w:rsid w:val="00114029"/>
    <w:rsid w:val="00120227"/>
    <w:rsid w:val="00122D24"/>
    <w:rsid w:val="0012784D"/>
    <w:rsid w:val="00137947"/>
    <w:rsid w:val="0014592D"/>
    <w:rsid w:val="001552A0"/>
    <w:rsid w:val="00160224"/>
    <w:rsid w:val="00161454"/>
    <w:rsid w:val="0016351A"/>
    <w:rsid w:val="00164210"/>
    <w:rsid w:val="00165C6B"/>
    <w:rsid w:val="001721DC"/>
    <w:rsid w:val="00173840"/>
    <w:rsid w:val="0018063A"/>
    <w:rsid w:val="00181855"/>
    <w:rsid w:val="001821F3"/>
    <w:rsid w:val="00190FF5"/>
    <w:rsid w:val="001A0421"/>
    <w:rsid w:val="001A2651"/>
    <w:rsid w:val="001A26C9"/>
    <w:rsid w:val="001A512B"/>
    <w:rsid w:val="001A5560"/>
    <w:rsid w:val="001C2D8A"/>
    <w:rsid w:val="001C59CC"/>
    <w:rsid w:val="001C644D"/>
    <w:rsid w:val="001D1B74"/>
    <w:rsid w:val="001E1F9F"/>
    <w:rsid w:val="0020034B"/>
    <w:rsid w:val="002016FE"/>
    <w:rsid w:val="00206893"/>
    <w:rsid w:val="00207084"/>
    <w:rsid w:val="002075B4"/>
    <w:rsid w:val="002112C7"/>
    <w:rsid w:val="00223CBF"/>
    <w:rsid w:val="002300F8"/>
    <w:rsid w:val="00233137"/>
    <w:rsid w:val="00236D66"/>
    <w:rsid w:val="00241B27"/>
    <w:rsid w:val="00255797"/>
    <w:rsid w:val="0027086E"/>
    <w:rsid w:val="0027691F"/>
    <w:rsid w:val="002770DF"/>
    <w:rsid w:val="00282398"/>
    <w:rsid w:val="0028435E"/>
    <w:rsid w:val="002A07BC"/>
    <w:rsid w:val="002A28DD"/>
    <w:rsid w:val="002A4F7D"/>
    <w:rsid w:val="002A53D6"/>
    <w:rsid w:val="002A65D7"/>
    <w:rsid w:val="002C4B5D"/>
    <w:rsid w:val="002C7F1C"/>
    <w:rsid w:val="002D1E31"/>
    <w:rsid w:val="002E62EE"/>
    <w:rsid w:val="002F05B4"/>
    <w:rsid w:val="002F4071"/>
    <w:rsid w:val="002F6729"/>
    <w:rsid w:val="003049BB"/>
    <w:rsid w:val="00315F40"/>
    <w:rsid w:val="0031614E"/>
    <w:rsid w:val="00330764"/>
    <w:rsid w:val="0035207F"/>
    <w:rsid w:val="0037037A"/>
    <w:rsid w:val="003817CB"/>
    <w:rsid w:val="00386C7C"/>
    <w:rsid w:val="0039090A"/>
    <w:rsid w:val="00392077"/>
    <w:rsid w:val="00397EB8"/>
    <w:rsid w:val="003A24CC"/>
    <w:rsid w:val="003A6A7A"/>
    <w:rsid w:val="003A7798"/>
    <w:rsid w:val="003C4533"/>
    <w:rsid w:val="003C6BE9"/>
    <w:rsid w:val="003D2164"/>
    <w:rsid w:val="003D2F77"/>
    <w:rsid w:val="003D3C75"/>
    <w:rsid w:val="003D5988"/>
    <w:rsid w:val="003D6D92"/>
    <w:rsid w:val="003E4C00"/>
    <w:rsid w:val="003E5F64"/>
    <w:rsid w:val="003F104D"/>
    <w:rsid w:val="003F189F"/>
    <w:rsid w:val="00402B9C"/>
    <w:rsid w:val="00407258"/>
    <w:rsid w:val="00410962"/>
    <w:rsid w:val="00415FD2"/>
    <w:rsid w:val="00420C3F"/>
    <w:rsid w:val="004241E2"/>
    <w:rsid w:val="0042511B"/>
    <w:rsid w:val="0043333D"/>
    <w:rsid w:val="00446FE7"/>
    <w:rsid w:val="00477062"/>
    <w:rsid w:val="0049191A"/>
    <w:rsid w:val="00495046"/>
    <w:rsid w:val="004A395A"/>
    <w:rsid w:val="004A4B4A"/>
    <w:rsid w:val="004B2175"/>
    <w:rsid w:val="004B38D5"/>
    <w:rsid w:val="004C2A53"/>
    <w:rsid w:val="004C7D14"/>
    <w:rsid w:val="004D23CB"/>
    <w:rsid w:val="004E004C"/>
    <w:rsid w:val="004E7825"/>
    <w:rsid w:val="004F08D6"/>
    <w:rsid w:val="004F12E1"/>
    <w:rsid w:val="004F2EEC"/>
    <w:rsid w:val="004F53F6"/>
    <w:rsid w:val="004F69F5"/>
    <w:rsid w:val="00501489"/>
    <w:rsid w:val="00505105"/>
    <w:rsid w:val="00510F19"/>
    <w:rsid w:val="00514628"/>
    <w:rsid w:val="005146EF"/>
    <w:rsid w:val="00517BB5"/>
    <w:rsid w:val="00527954"/>
    <w:rsid w:val="00537C82"/>
    <w:rsid w:val="00540255"/>
    <w:rsid w:val="00540F50"/>
    <w:rsid w:val="005537AA"/>
    <w:rsid w:val="00555594"/>
    <w:rsid w:val="00556591"/>
    <w:rsid w:val="0056057B"/>
    <w:rsid w:val="00562E61"/>
    <w:rsid w:val="005669B4"/>
    <w:rsid w:val="00576605"/>
    <w:rsid w:val="00576A8F"/>
    <w:rsid w:val="00584953"/>
    <w:rsid w:val="005869B5"/>
    <w:rsid w:val="005968F5"/>
    <w:rsid w:val="005A55D5"/>
    <w:rsid w:val="005A70F5"/>
    <w:rsid w:val="005B691B"/>
    <w:rsid w:val="005C0FA2"/>
    <w:rsid w:val="005D2023"/>
    <w:rsid w:val="005E3181"/>
    <w:rsid w:val="005E7039"/>
    <w:rsid w:val="005F4DE2"/>
    <w:rsid w:val="006000D3"/>
    <w:rsid w:val="006116A6"/>
    <w:rsid w:val="006129A9"/>
    <w:rsid w:val="006144FD"/>
    <w:rsid w:val="00616AC1"/>
    <w:rsid w:val="00636B30"/>
    <w:rsid w:val="0064681B"/>
    <w:rsid w:val="00646FBD"/>
    <w:rsid w:val="006677A5"/>
    <w:rsid w:val="0068254B"/>
    <w:rsid w:val="00684A2A"/>
    <w:rsid w:val="0068789E"/>
    <w:rsid w:val="00687FE2"/>
    <w:rsid w:val="00690467"/>
    <w:rsid w:val="00694507"/>
    <w:rsid w:val="00696528"/>
    <w:rsid w:val="006B1A61"/>
    <w:rsid w:val="006B4F3E"/>
    <w:rsid w:val="006B56F6"/>
    <w:rsid w:val="006B6205"/>
    <w:rsid w:val="006B672C"/>
    <w:rsid w:val="006C0CF1"/>
    <w:rsid w:val="006D258E"/>
    <w:rsid w:val="006F27A7"/>
    <w:rsid w:val="006F2B5C"/>
    <w:rsid w:val="006F3919"/>
    <w:rsid w:val="006F7ABF"/>
    <w:rsid w:val="00701A58"/>
    <w:rsid w:val="00705EBB"/>
    <w:rsid w:val="007064D5"/>
    <w:rsid w:val="00726722"/>
    <w:rsid w:val="007344EF"/>
    <w:rsid w:val="00755F37"/>
    <w:rsid w:val="007642B5"/>
    <w:rsid w:val="00766D1A"/>
    <w:rsid w:val="00767F1B"/>
    <w:rsid w:val="007704CC"/>
    <w:rsid w:val="007719E8"/>
    <w:rsid w:val="007725F7"/>
    <w:rsid w:val="00775C83"/>
    <w:rsid w:val="00784235"/>
    <w:rsid w:val="007847B6"/>
    <w:rsid w:val="007A264D"/>
    <w:rsid w:val="007C206D"/>
    <w:rsid w:val="007D6074"/>
    <w:rsid w:val="007E0A74"/>
    <w:rsid w:val="007F2313"/>
    <w:rsid w:val="0080031B"/>
    <w:rsid w:val="00804A6F"/>
    <w:rsid w:val="00807A51"/>
    <w:rsid w:val="00817EC9"/>
    <w:rsid w:val="0083319B"/>
    <w:rsid w:val="008374F7"/>
    <w:rsid w:val="00841434"/>
    <w:rsid w:val="0084394F"/>
    <w:rsid w:val="008569B6"/>
    <w:rsid w:val="00873FFA"/>
    <w:rsid w:val="0088028C"/>
    <w:rsid w:val="00886086"/>
    <w:rsid w:val="00891FF5"/>
    <w:rsid w:val="00897EF7"/>
    <w:rsid w:val="008A5C94"/>
    <w:rsid w:val="008B32C8"/>
    <w:rsid w:val="008B3626"/>
    <w:rsid w:val="008B5636"/>
    <w:rsid w:val="008C1AC8"/>
    <w:rsid w:val="008C70B0"/>
    <w:rsid w:val="008D6393"/>
    <w:rsid w:val="008E6DF2"/>
    <w:rsid w:val="00906A4A"/>
    <w:rsid w:val="00907938"/>
    <w:rsid w:val="00926DBF"/>
    <w:rsid w:val="009372D1"/>
    <w:rsid w:val="00943569"/>
    <w:rsid w:val="00960E55"/>
    <w:rsid w:val="009658F4"/>
    <w:rsid w:val="0096768B"/>
    <w:rsid w:val="00973329"/>
    <w:rsid w:val="009803E2"/>
    <w:rsid w:val="00984E21"/>
    <w:rsid w:val="00984EB9"/>
    <w:rsid w:val="00985B31"/>
    <w:rsid w:val="009A0395"/>
    <w:rsid w:val="009A2127"/>
    <w:rsid w:val="009B0EBE"/>
    <w:rsid w:val="009C3C71"/>
    <w:rsid w:val="009C4D38"/>
    <w:rsid w:val="009C69DC"/>
    <w:rsid w:val="009C7812"/>
    <w:rsid w:val="009E0410"/>
    <w:rsid w:val="009E3DDF"/>
    <w:rsid w:val="009E6016"/>
    <w:rsid w:val="009F1197"/>
    <w:rsid w:val="00A03379"/>
    <w:rsid w:val="00A06064"/>
    <w:rsid w:val="00A12639"/>
    <w:rsid w:val="00A21E62"/>
    <w:rsid w:val="00A24727"/>
    <w:rsid w:val="00A269CF"/>
    <w:rsid w:val="00A31F5F"/>
    <w:rsid w:val="00A45AEA"/>
    <w:rsid w:val="00A50407"/>
    <w:rsid w:val="00A53A01"/>
    <w:rsid w:val="00A63630"/>
    <w:rsid w:val="00A662A0"/>
    <w:rsid w:val="00A67404"/>
    <w:rsid w:val="00A83FEF"/>
    <w:rsid w:val="00A875C8"/>
    <w:rsid w:val="00A91571"/>
    <w:rsid w:val="00A95C0B"/>
    <w:rsid w:val="00A963E9"/>
    <w:rsid w:val="00A97D6D"/>
    <w:rsid w:val="00AA62D8"/>
    <w:rsid w:val="00AB1FD7"/>
    <w:rsid w:val="00AB3A73"/>
    <w:rsid w:val="00AB7CC7"/>
    <w:rsid w:val="00AC4078"/>
    <w:rsid w:val="00AD4C0B"/>
    <w:rsid w:val="00AD5874"/>
    <w:rsid w:val="00AD5FFD"/>
    <w:rsid w:val="00AD61CA"/>
    <w:rsid w:val="00AE78AB"/>
    <w:rsid w:val="00AF3085"/>
    <w:rsid w:val="00AF431E"/>
    <w:rsid w:val="00AF44F6"/>
    <w:rsid w:val="00B01990"/>
    <w:rsid w:val="00B03912"/>
    <w:rsid w:val="00B05226"/>
    <w:rsid w:val="00B05A56"/>
    <w:rsid w:val="00B11DCA"/>
    <w:rsid w:val="00B15450"/>
    <w:rsid w:val="00B35A6D"/>
    <w:rsid w:val="00B35AC9"/>
    <w:rsid w:val="00B53030"/>
    <w:rsid w:val="00B55BA0"/>
    <w:rsid w:val="00B55DB9"/>
    <w:rsid w:val="00B65432"/>
    <w:rsid w:val="00B742EC"/>
    <w:rsid w:val="00B90725"/>
    <w:rsid w:val="00B923EA"/>
    <w:rsid w:val="00B93829"/>
    <w:rsid w:val="00B94AF3"/>
    <w:rsid w:val="00BA355F"/>
    <w:rsid w:val="00BA7ADB"/>
    <w:rsid w:val="00BB5430"/>
    <w:rsid w:val="00BC7862"/>
    <w:rsid w:val="00BE27D5"/>
    <w:rsid w:val="00BE2DA3"/>
    <w:rsid w:val="00BE3F4D"/>
    <w:rsid w:val="00BF1E9C"/>
    <w:rsid w:val="00BF5AB3"/>
    <w:rsid w:val="00BF653B"/>
    <w:rsid w:val="00C003FC"/>
    <w:rsid w:val="00C024AE"/>
    <w:rsid w:val="00C118B3"/>
    <w:rsid w:val="00C2497E"/>
    <w:rsid w:val="00C37FB3"/>
    <w:rsid w:val="00C41C02"/>
    <w:rsid w:val="00C46824"/>
    <w:rsid w:val="00C53D3B"/>
    <w:rsid w:val="00C6622D"/>
    <w:rsid w:val="00C74B6A"/>
    <w:rsid w:val="00C80427"/>
    <w:rsid w:val="00C828C8"/>
    <w:rsid w:val="00C86208"/>
    <w:rsid w:val="00C911CB"/>
    <w:rsid w:val="00C91570"/>
    <w:rsid w:val="00C944D4"/>
    <w:rsid w:val="00CA5810"/>
    <w:rsid w:val="00CB1558"/>
    <w:rsid w:val="00CC7DCD"/>
    <w:rsid w:val="00CD12B6"/>
    <w:rsid w:val="00CD4468"/>
    <w:rsid w:val="00CE2113"/>
    <w:rsid w:val="00CE5EFE"/>
    <w:rsid w:val="00CE65D6"/>
    <w:rsid w:val="00CF1601"/>
    <w:rsid w:val="00D00A27"/>
    <w:rsid w:val="00D10DA8"/>
    <w:rsid w:val="00D117D4"/>
    <w:rsid w:val="00D225B1"/>
    <w:rsid w:val="00D24BE5"/>
    <w:rsid w:val="00D522FA"/>
    <w:rsid w:val="00D546D1"/>
    <w:rsid w:val="00D56325"/>
    <w:rsid w:val="00D645C9"/>
    <w:rsid w:val="00D65F03"/>
    <w:rsid w:val="00D6678A"/>
    <w:rsid w:val="00D7450A"/>
    <w:rsid w:val="00D846B4"/>
    <w:rsid w:val="00D87BF9"/>
    <w:rsid w:val="00DA11D5"/>
    <w:rsid w:val="00DA2243"/>
    <w:rsid w:val="00DB2427"/>
    <w:rsid w:val="00DC20E8"/>
    <w:rsid w:val="00DD111D"/>
    <w:rsid w:val="00DE2FDA"/>
    <w:rsid w:val="00DE4E66"/>
    <w:rsid w:val="00E003A2"/>
    <w:rsid w:val="00E03F67"/>
    <w:rsid w:val="00E05016"/>
    <w:rsid w:val="00E106BC"/>
    <w:rsid w:val="00E1226A"/>
    <w:rsid w:val="00E13253"/>
    <w:rsid w:val="00E35C15"/>
    <w:rsid w:val="00E538FB"/>
    <w:rsid w:val="00E67DC7"/>
    <w:rsid w:val="00E7240E"/>
    <w:rsid w:val="00E81777"/>
    <w:rsid w:val="00E85283"/>
    <w:rsid w:val="00EA6ED8"/>
    <w:rsid w:val="00EB0729"/>
    <w:rsid w:val="00EB2666"/>
    <w:rsid w:val="00EB5D87"/>
    <w:rsid w:val="00EB724C"/>
    <w:rsid w:val="00ED0503"/>
    <w:rsid w:val="00ED5259"/>
    <w:rsid w:val="00ED559E"/>
    <w:rsid w:val="00ED6FBF"/>
    <w:rsid w:val="00EE00D6"/>
    <w:rsid w:val="00EE4B86"/>
    <w:rsid w:val="00EF15A6"/>
    <w:rsid w:val="00EF27C5"/>
    <w:rsid w:val="00F20C06"/>
    <w:rsid w:val="00F22EFF"/>
    <w:rsid w:val="00F25270"/>
    <w:rsid w:val="00F25271"/>
    <w:rsid w:val="00F26DC7"/>
    <w:rsid w:val="00F4135C"/>
    <w:rsid w:val="00F42E59"/>
    <w:rsid w:val="00F472EF"/>
    <w:rsid w:val="00F51218"/>
    <w:rsid w:val="00F51994"/>
    <w:rsid w:val="00F54984"/>
    <w:rsid w:val="00F578FD"/>
    <w:rsid w:val="00F7526E"/>
    <w:rsid w:val="00F77339"/>
    <w:rsid w:val="00F7737E"/>
    <w:rsid w:val="00F92E7B"/>
    <w:rsid w:val="00F94A49"/>
    <w:rsid w:val="00FA7A54"/>
    <w:rsid w:val="00FB0BD9"/>
    <w:rsid w:val="00FC3122"/>
    <w:rsid w:val="00FD03CC"/>
    <w:rsid w:val="00FD4529"/>
    <w:rsid w:val="00FD7C22"/>
    <w:rsid w:val="00FE222E"/>
    <w:rsid w:val="00FE2B8C"/>
    <w:rsid w:val="00FE5455"/>
    <w:rsid w:val="00FE56C3"/>
    <w:rsid w:val="00FF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05"/>
    <w:pPr>
      <w:spacing w:after="0" w:line="240" w:lineRule="auto"/>
    </w:pPr>
    <w:rPr>
      <w:rFonts w:eastAsia="Times New Roman" w:cs="Times New Roman"/>
      <w:sz w:val="24"/>
      <w:szCs w:val="24"/>
    </w:rPr>
  </w:style>
  <w:style w:type="paragraph" w:styleId="Heading4">
    <w:name w:val="heading 4"/>
    <w:basedOn w:val="Normal"/>
    <w:link w:val="Heading4Char"/>
    <w:uiPriority w:val="9"/>
    <w:qFormat/>
    <w:rsid w:val="0004522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B30"/>
    <w:pPr>
      <w:ind w:left="720"/>
      <w:contextualSpacing/>
    </w:pPr>
  </w:style>
  <w:style w:type="table" w:styleId="TableGrid">
    <w:name w:val="Table Grid"/>
    <w:basedOn w:val="TableNormal"/>
    <w:uiPriority w:val="59"/>
    <w:rsid w:val="001278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2784D"/>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표준 (웹),Char Char5,Normal (Web) Char Char Char Char Char, Char Char25"/>
    <w:basedOn w:val="Normal"/>
    <w:link w:val="NormalWebChar"/>
    <w:uiPriority w:val="99"/>
    <w:unhideWhenUsed/>
    <w:qFormat/>
    <w:rsid w:val="002C7F1C"/>
    <w:pPr>
      <w:spacing w:before="100" w:beforeAutospacing="1" w:after="100" w:afterAutospacing="1"/>
    </w:pPr>
  </w:style>
  <w:style w:type="character" w:styleId="Strong">
    <w:name w:val="Strong"/>
    <w:basedOn w:val="DefaultParagraphFont"/>
    <w:uiPriority w:val="22"/>
    <w:qFormat/>
    <w:rsid w:val="00F20C06"/>
    <w:rPr>
      <w:b/>
      <w:bCs/>
    </w:rPr>
  </w:style>
  <w:style w:type="character" w:styleId="Emphasis">
    <w:name w:val="Emphasis"/>
    <w:basedOn w:val="DefaultParagraphFont"/>
    <w:uiPriority w:val="20"/>
    <w:qFormat/>
    <w:rsid w:val="00F20C06"/>
    <w:rPr>
      <w:i/>
      <w:iCs/>
    </w:rPr>
  </w:style>
  <w:style w:type="character" w:styleId="Hyperlink">
    <w:name w:val="Hyperlink"/>
    <w:basedOn w:val="DefaultParagraphFont"/>
    <w:uiPriority w:val="99"/>
    <w:unhideWhenUsed/>
    <w:rsid w:val="00C2497E"/>
    <w:rPr>
      <w:color w:val="0000FF"/>
      <w:u w:val="single"/>
    </w:rPr>
  </w:style>
  <w:style w:type="character" w:customStyle="1" w:styleId="Heading4Char">
    <w:name w:val="Heading 4 Char"/>
    <w:basedOn w:val="DefaultParagraphFont"/>
    <w:link w:val="Heading4"/>
    <w:uiPriority w:val="9"/>
    <w:rsid w:val="00045226"/>
    <w:rPr>
      <w:rFonts w:eastAsia="Times New Roman" w:cs="Times New Roman"/>
      <w:b/>
      <w:bCs/>
      <w:sz w:val="24"/>
      <w:szCs w:val="24"/>
    </w:rPr>
  </w:style>
  <w:style w:type="paragraph" w:styleId="EndnoteText">
    <w:name w:val="endnote text"/>
    <w:basedOn w:val="Normal"/>
    <w:link w:val="EndnoteTextChar"/>
    <w:uiPriority w:val="99"/>
    <w:semiHidden/>
    <w:unhideWhenUsed/>
    <w:rsid w:val="00DA11D5"/>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DA11D5"/>
    <w:rPr>
      <w:rFonts w:asciiTheme="minorHAnsi" w:hAnsiTheme="minorHAnsi"/>
      <w:kern w:val="2"/>
      <w:sz w:val="20"/>
      <w:szCs w:val="20"/>
      <w14:ligatures w14:val="standardContextual"/>
    </w:rPr>
  </w:style>
  <w:style w:type="character" w:styleId="EndnoteReference">
    <w:name w:val="endnote reference"/>
    <w:basedOn w:val="DefaultParagraphFont"/>
    <w:uiPriority w:val="99"/>
    <w:semiHidden/>
    <w:unhideWhenUsed/>
    <w:rsid w:val="00DA11D5"/>
    <w:rPr>
      <w:vertAlign w:val="superscript"/>
    </w:rPr>
  </w:style>
  <w:style w:type="character" w:customStyle="1" w:styleId="normalchar">
    <w:name w:val="normal__char"/>
    <w:basedOn w:val="DefaultParagraphFont"/>
    <w:rsid w:val="00014E40"/>
  </w:style>
  <w:style w:type="character" w:customStyle="1" w:styleId="UnresolvedMention">
    <w:name w:val="Unresolved Mention"/>
    <w:basedOn w:val="DefaultParagraphFont"/>
    <w:uiPriority w:val="99"/>
    <w:semiHidden/>
    <w:unhideWhenUsed/>
    <w:rsid w:val="007064D5"/>
    <w:rPr>
      <w:color w:val="605E5C"/>
      <w:shd w:val="clear" w:color="auto" w:fill="E1DFDD"/>
    </w:rPr>
  </w:style>
  <w:style w:type="paragraph" w:styleId="Footer">
    <w:name w:val="footer"/>
    <w:basedOn w:val="Normal"/>
    <w:link w:val="FooterChar"/>
    <w:rsid w:val="000D7891"/>
    <w:pPr>
      <w:tabs>
        <w:tab w:val="center" w:pos="4320"/>
        <w:tab w:val="right" w:pos="8640"/>
      </w:tabs>
    </w:pPr>
  </w:style>
  <w:style w:type="character" w:customStyle="1" w:styleId="FooterChar">
    <w:name w:val="Footer Char"/>
    <w:basedOn w:val="DefaultParagraphFont"/>
    <w:link w:val="Footer"/>
    <w:rsid w:val="000D7891"/>
    <w:rPr>
      <w:rFonts w:eastAsia="Times New Roman" w:cs="Times New Roman"/>
      <w:sz w:val="24"/>
      <w:szCs w:val="24"/>
    </w:rPr>
  </w:style>
  <w:style w:type="character" w:styleId="PageNumber">
    <w:name w:val="page number"/>
    <w:basedOn w:val="DefaultParagraphFont"/>
    <w:rsid w:val="000D7891"/>
  </w:style>
  <w:style w:type="paragraph" w:styleId="Header">
    <w:name w:val="header"/>
    <w:basedOn w:val="Normal"/>
    <w:link w:val="HeaderChar"/>
    <w:uiPriority w:val="99"/>
    <w:rsid w:val="000D7891"/>
    <w:pPr>
      <w:tabs>
        <w:tab w:val="center" w:pos="4513"/>
        <w:tab w:val="right" w:pos="9026"/>
      </w:tabs>
    </w:pPr>
    <w:rPr>
      <w:sz w:val="28"/>
    </w:rPr>
  </w:style>
  <w:style w:type="character" w:customStyle="1" w:styleId="HeaderChar">
    <w:name w:val="Header Char"/>
    <w:basedOn w:val="DefaultParagraphFont"/>
    <w:link w:val="Header"/>
    <w:uiPriority w:val="99"/>
    <w:rsid w:val="000D7891"/>
    <w:rPr>
      <w:rFonts w:eastAsia="Times New Roman" w:cs="Times New Roman"/>
      <w:szCs w:val="24"/>
    </w:rPr>
  </w:style>
  <w:style w:type="character" w:customStyle="1" w:styleId="fontstyle01">
    <w:name w:val="fontstyle01"/>
    <w:rsid w:val="000D7891"/>
    <w:rPr>
      <w:rFonts w:ascii="TimesNewRomanPS-BoldMT" w:hAnsi="TimesNewRomanPS-BoldMT" w:hint="default"/>
      <w:b/>
      <w:bCs/>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표준 (웹) Char"/>
    <w:link w:val="NormalWeb"/>
    <w:uiPriority w:val="99"/>
    <w:qFormat/>
    <w:rsid w:val="000D789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05"/>
    <w:pPr>
      <w:spacing w:after="0" w:line="240" w:lineRule="auto"/>
    </w:pPr>
    <w:rPr>
      <w:rFonts w:eastAsia="Times New Roman" w:cs="Times New Roman"/>
      <w:sz w:val="24"/>
      <w:szCs w:val="24"/>
    </w:rPr>
  </w:style>
  <w:style w:type="paragraph" w:styleId="Heading4">
    <w:name w:val="heading 4"/>
    <w:basedOn w:val="Normal"/>
    <w:link w:val="Heading4Char"/>
    <w:uiPriority w:val="9"/>
    <w:qFormat/>
    <w:rsid w:val="0004522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B30"/>
    <w:pPr>
      <w:ind w:left="720"/>
      <w:contextualSpacing/>
    </w:pPr>
  </w:style>
  <w:style w:type="table" w:styleId="TableGrid">
    <w:name w:val="Table Grid"/>
    <w:basedOn w:val="TableNormal"/>
    <w:uiPriority w:val="59"/>
    <w:rsid w:val="001278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2784D"/>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표준 (웹),Char Char5,Normal (Web) Char Char Char Char Char, Char Char25"/>
    <w:basedOn w:val="Normal"/>
    <w:link w:val="NormalWebChar"/>
    <w:uiPriority w:val="99"/>
    <w:unhideWhenUsed/>
    <w:qFormat/>
    <w:rsid w:val="002C7F1C"/>
    <w:pPr>
      <w:spacing w:before="100" w:beforeAutospacing="1" w:after="100" w:afterAutospacing="1"/>
    </w:pPr>
  </w:style>
  <w:style w:type="character" w:styleId="Strong">
    <w:name w:val="Strong"/>
    <w:basedOn w:val="DefaultParagraphFont"/>
    <w:uiPriority w:val="22"/>
    <w:qFormat/>
    <w:rsid w:val="00F20C06"/>
    <w:rPr>
      <w:b/>
      <w:bCs/>
    </w:rPr>
  </w:style>
  <w:style w:type="character" w:styleId="Emphasis">
    <w:name w:val="Emphasis"/>
    <w:basedOn w:val="DefaultParagraphFont"/>
    <w:uiPriority w:val="20"/>
    <w:qFormat/>
    <w:rsid w:val="00F20C06"/>
    <w:rPr>
      <w:i/>
      <w:iCs/>
    </w:rPr>
  </w:style>
  <w:style w:type="character" w:styleId="Hyperlink">
    <w:name w:val="Hyperlink"/>
    <w:basedOn w:val="DefaultParagraphFont"/>
    <w:uiPriority w:val="99"/>
    <w:unhideWhenUsed/>
    <w:rsid w:val="00C2497E"/>
    <w:rPr>
      <w:color w:val="0000FF"/>
      <w:u w:val="single"/>
    </w:rPr>
  </w:style>
  <w:style w:type="character" w:customStyle="1" w:styleId="Heading4Char">
    <w:name w:val="Heading 4 Char"/>
    <w:basedOn w:val="DefaultParagraphFont"/>
    <w:link w:val="Heading4"/>
    <w:uiPriority w:val="9"/>
    <w:rsid w:val="00045226"/>
    <w:rPr>
      <w:rFonts w:eastAsia="Times New Roman" w:cs="Times New Roman"/>
      <w:b/>
      <w:bCs/>
      <w:sz w:val="24"/>
      <w:szCs w:val="24"/>
    </w:rPr>
  </w:style>
  <w:style w:type="paragraph" w:styleId="EndnoteText">
    <w:name w:val="endnote text"/>
    <w:basedOn w:val="Normal"/>
    <w:link w:val="EndnoteTextChar"/>
    <w:uiPriority w:val="99"/>
    <w:semiHidden/>
    <w:unhideWhenUsed/>
    <w:rsid w:val="00DA11D5"/>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DA11D5"/>
    <w:rPr>
      <w:rFonts w:asciiTheme="minorHAnsi" w:hAnsiTheme="minorHAnsi"/>
      <w:kern w:val="2"/>
      <w:sz w:val="20"/>
      <w:szCs w:val="20"/>
      <w14:ligatures w14:val="standardContextual"/>
    </w:rPr>
  </w:style>
  <w:style w:type="character" w:styleId="EndnoteReference">
    <w:name w:val="endnote reference"/>
    <w:basedOn w:val="DefaultParagraphFont"/>
    <w:uiPriority w:val="99"/>
    <w:semiHidden/>
    <w:unhideWhenUsed/>
    <w:rsid w:val="00DA11D5"/>
    <w:rPr>
      <w:vertAlign w:val="superscript"/>
    </w:rPr>
  </w:style>
  <w:style w:type="character" w:customStyle="1" w:styleId="normalchar">
    <w:name w:val="normal__char"/>
    <w:basedOn w:val="DefaultParagraphFont"/>
    <w:rsid w:val="00014E40"/>
  </w:style>
  <w:style w:type="character" w:customStyle="1" w:styleId="UnresolvedMention">
    <w:name w:val="Unresolved Mention"/>
    <w:basedOn w:val="DefaultParagraphFont"/>
    <w:uiPriority w:val="99"/>
    <w:semiHidden/>
    <w:unhideWhenUsed/>
    <w:rsid w:val="007064D5"/>
    <w:rPr>
      <w:color w:val="605E5C"/>
      <w:shd w:val="clear" w:color="auto" w:fill="E1DFDD"/>
    </w:rPr>
  </w:style>
  <w:style w:type="paragraph" w:styleId="Footer">
    <w:name w:val="footer"/>
    <w:basedOn w:val="Normal"/>
    <w:link w:val="FooterChar"/>
    <w:rsid w:val="000D7891"/>
    <w:pPr>
      <w:tabs>
        <w:tab w:val="center" w:pos="4320"/>
        <w:tab w:val="right" w:pos="8640"/>
      </w:tabs>
    </w:pPr>
  </w:style>
  <w:style w:type="character" w:customStyle="1" w:styleId="FooterChar">
    <w:name w:val="Footer Char"/>
    <w:basedOn w:val="DefaultParagraphFont"/>
    <w:link w:val="Footer"/>
    <w:rsid w:val="000D7891"/>
    <w:rPr>
      <w:rFonts w:eastAsia="Times New Roman" w:cs="Times New Roman"/>
      <w:sz w:val="24"/>
      <w:szCs w:val="24"/>
    </w:rPr>
  </w:style>
  <w:style w:type="character" w:styleId="PageNumber">
    <w:name w:val="page number"/>
    <w:basedOn w:val="DefaultParagraphFont"/>
    <w:rsid w:val="000D7891"/>
  </w:style>
  <w:style w:type="paragraph" w:styleId="Header">
    <w:name w:val="header"/>
    <w:basedOn w:val="Normal"/>
    <w:link w:val="HeaderChar"/>
    <w:uiPriority w:val="99"/>
    <w:rsid w:val="000D7891"/>
    <w:pPr>
      <w:tabs>
        <w:tab w:val="center" w:pos="4513"/>
        <w:tab w:val="right" w:pos="9026"/>
      </w:tabs>
    </w:pPr>
    <w:rPr>
      <w:sz w:val="28"/>
    </w:rPr>
  </w:style>
  <w:style w:type="character" w:customStyle="1" w:styleId="HeaderChar">
    <w:name w:val="Header Char"/>
    <w:basedOn w:val="DefaultParagraphFont"/>
    <w:link w:val="Header"/>
    <w:uiPriority w:val="99"/>
    <w:rsid w:val="000D7891"/>
    <w:rPr>
      <w:rFonts w:eastAsia="Times New Roman" w:cs="Times New Roman"/>
      <w:szCs w:val="24"/>
    </w:rPr>
  </w:style>
  <w:style w:type="character" w:customStyle="1" w:styleId="fontstyle01">
    <w:name w:val="fontstyle01"/>
    <w:rsid w:val="000D7891"/>
    <w:rPr>
      <w:rFonts w:ascii="TimesNewRomanPS-BoldMT" w:hAnsi="TimesNewRomanPS-BoldMT" w:hint="default"/>
      <w:b/>
      <w:bCs/>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표준 (웹) Char"/>
    <w:link w:val="NormalWeb"/>
    <w:uiPriority w:val="99"/>
    <w:qFormat/>
    <w:rsid w:val="000D789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703">
      <w:bodyDiv w:val="1"/>
      <w:marLeft w:val="0"/>
      <w:marRight w:val="0"/>
      <w:marTop w:val="0"/>
      <w:marBottom w:val="0"/>
      <w:divBdr>
        <w:top w:val="none" w:sz="0" w:space="0" w:color="auto"/>
        <w:left w:val="none" w:sz="0" w:space="0" w:color="auto"/>
        <w:bottom w:val="none" w:sz="0" w:space="0" w:color="auto"/>
        <w:right w:val="none" w:sz="0" w:space="0" w:color="auto"/>
      </w:divBdr>
      <w:divsChild>
        <w:div w:id="1256399514">
          <w:marLeft w:val="0"/>
          <w:marRight w:val="0"/>
          <w:marTop w:val="0"/>
          <w:marBottom w:val="0"/>
          <w:divBdr>
            <w:top w:val="none" w:sz="0" w:space="0" w:color="auto"/>
            <w:left w:val="none" w:sz="0" w:space="0" w:color="auto"/>
            <w:bottom w:val="none" w:sz="0" w:space="0" w:color="auto"/>
            <w:right w:val="none" w:sz="0" w:space="0" w:color="auto"/>
          </w:divBdr>
        </w:div>
      </w:divsChild>
    </w:div>
    <w:div w:id="372390417">
      <w:bodyDiv w:val="1"/>
      <w:marLeft w:val="0"/>
      <w:marRight w:val="0"/>
      <w:marTop w:val="0"/>
      <w:marBottom w:val="0"/>
      <w:divBdr>
        <w:top w:val="none" w:sz="0" w:space="0" w:color="auto"/>
        <w:left w:val="none" w:sz="0" w:space="0" w:color="auto"/>
        <w:bottom w:val="none" w:sz="0" w:space="0" w:color="auto"/>
        <w:right w:val="none" w:sz="0" w:space="0" w:color="auto"/>
      </w:divBdr>
    </w:div>
    <w:div w:id="578710618">
      <w:bodyDiv w:val="1"/>
      <w:marLeft w:val="0"/>
      <w:marRight w:val="0"/>
      <w:marTop w:val="0"/>
      <w:marBottom w:val="0"/>
      <w:divBdr>
        <w:top w:val="none" w:sz="0" w:space="0" w:color="auto"/>
        <w:left w:val="none" w:sz="0" w:space="0" w:color="auto"/>
        <w:bottom w:val="none" w:sz="0" w:space="0" w:color="auto"/>
        <w:right w:val="none" w:sz="0" w:space="0" w:color="auto"/>
      </w:divBdr>
    </w:div>
    <w:div w:id="827791598">
      <w:bodyDiv w:val="1"/>
      <w:marLeft w:val="0"/>
      <w:marRight w:val="0"/>
      <w:marTop w:val="0"/>
      <w:marBottom w:val="0"/>
      <w:divBdr>
        <w:top w:val="none" w:sz="0" w:space="0" w:color="auto"/>
        <w:left w:val="none" w:sz="0" w:space="0" w:color="auto"/>
        <w:bottom w:val="none" w:sz="0" w:space="0" w:color="auto"/>
        <w:right w:val="none" w:sz="0" w:space="0" w:color="auto"/>
      </w:divBdr>
    </w:div>
    <w:div w:id="944000382">
      <w:bodyDiv w:val="1"/>
      <w:marLeft w:val="0"/>
      <w:marRight w:val="0"/>
      <w:marTop w:val="0"/>
      <w:marBottom w:val="0"/>
      <w:divBdr>
        <w:top w:val="none" w:sz="0" w:space="0" w:color="auto"/>
        <w:left w:val="none" w:sz="0" w:space="0" w:color="auto"/>
        <w:bottom w:val="none" w:sz="0" w:space="0" w:color="auto"/>
        <w:right w:val="none" w:sz="0" w:space="0" w:color="auto"/>
      </w:divBdr>
    </w:div>
    <w:div w:id="1094546067">
      <w:bodyDiv w:val="1"/>
      <w:marLeft w:val="0"/>
      <w:marRight w:val="0"/>
      <w:marTop w:val="0"/>
      <w:marBottom w:val="0"/>
      <w:divBdr>
        <w:top w:val="none" w:sz="0" w:space="0" w:color="auto"/>
        <w:left w:val="none" w:sz="0" w:space="0" w:color="auto"/>
        <w:bottom w:val="none" w:sz="0" w:space="0" w:color="auto"/>
        <w:right w:val="none" w:sz="0" w:space="0" w:color="auto"/>
      </w:divBdr>
    </w:div>
    <w:div w:id="1103845481">
      <w:bodyDiv w:val="1"/>
      <w:marLeft w:val="0"/>
      <w:marRight w:val="0"/>
      <w:marTop w:val="0"/>
      <w:marBottom w:val="0"/>
      <w:divBdr>
        <w:top w:val="none" w:sz="0" w:space="0" w:color="auto"/>
        <w:left w:val="none" w:sz="0" w:space="0" w:color="auto"/>
        <w:bottom w:val="none" w:sz="0" w:space="0" w:color="auto"/>
        <w:right w:val="none" w:sz="0" w:space="0" w:color="auto"/>
      </w:divBdr>
    </w:div>
    <w:div w:id="1211921370">
      <w:bodyDiv w:val="1"/>
      <w:marLeft w:val="0"/>
      <w:marRight w:val="0"/>
      <w:marTop w:val="0"/>
      <w:marBottom w:val="0"/>
      <w:divBdr>
        <w:top w:val="none" w:sz="0" w:space="0" w:color="auto"/>
        <w:left w:val="none" w:sz="0" w:space="0" w:color="auto"/>
        <w:bottom w:val="none" w:sz="0" w:space="0" w:color="auto"/>
        <w:right w:val="none" w:sz="0" w:space="0" w:color="auto"/>
      </w:divBdr>
    </w:div>
    <w:div w:id="1291397720">
      <w:bodyDiv w:val="1"/>
      <w:marLeft w:val="0"/>
      <w:marRight w:val="0"/>
      <w:marTop w:val="0"/>
      <w:marBottom w:val="0"/>
      <w:divBdr>
        <w:top w:val="none" w:sz="0" w:space="0" w:color="auto"/>
        <w:left w:val="none" w:sz="0" w:space="0" w:color="auto"/>
        <w:bottom w:val="none" w:sz="0" w:space="0" w:color="auto"/>
        <w:right w:val="none" w:sz="0" w:space="0" w:color="auto"/>
      </w:divBdr>
    </w:div>
    <w:div w:id="1540043986">
      <w:bodyDiv w:val="1"/>
      <w:marLeft w:val="0"/>
      <w:marRight w:val="0"/>
      <w:marTop w:val="0"/>
      <w:marBottom w:val="0"/>
      <w:divBdr>
        <w:top w:val="none" w:sz="0" w:space="0" w:color="auto"/>
        <w:left w:val="none" w:sz="0" w:space="0" w:color="auto"/>
        <w:bottom w:val="none" w:sz="0" w:space="0" w:color="auto"/>
        <w:right w:val="none" w:sz="0" w:space="0" w:color="auto"/>
      </w:divBdr>
    </w:div>
    <w:div w:id="1641692571">
      <w:bodyDiv w:val="1"/>
      <w:marLeft w:val="0"/>
      <w:marRight w:val="0"/>
      <w:marTop w:val="0"/>
      <w:marBottom w:val="0"/>
      <w:divBdr>
        <w:top w:val="none" w:sz="0" w:space="0" w:color="auto"/>
        <w:left w:val="none" w:sz="0" w:space="0" w:color="auto"/>
        <w:bottom w:val="none" w:sz="0" w:space="0" w:color="auto"/>
        <w:right w:val="none" w:sz="0" w:space="0" w:color="auto"/>
      </w:divBdr>
    </w:div>
    <w:div w:id="1673296912">
      <w:bodyDiv w:val="1"/>
      <w:marLeft w:val="0"/>
      <w:marRight w:val="0"/>
      <w:marTop w:val="0"/>
      <w:marBottom w:val="0"/>
      <w:divBdr>
        <w:top w:val="none" w:sz="0" w:space="0" w:color="auto"/>
        <w:left w:val="none" w:sz="0" w:space="0" w:color="auto"/>
        <w:bottom w:val="none" w:sz="0" w:space="0" w:color="auto"/>
        <w:right w:val="none" w:sz="0" w:space="0" w:color="auto"/>
      </w:divBdr>
    </w:div>
    <w:div w:id="19061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(Vu Thi Hong Anh)</dc:creator>
  <cp:lastModifiedBy>Windows User</cp:lastModifiedBy>
  <cp:revision>8</cp:revision>
  <cp:lastPrinted>2026-04-28T03:35:00Z</cp:lastPrinted>
  <dcterms:created xsi:type="dcterms:W3CDTF">2026-04-29T02:41:00Z</dcterms:created>
  <dcterms:modified xsi:type="dcterms:W3CDTF">2026-04-29T03:18:00Z</dcterms:modified>
</cp:coreProperties>
</file>