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04C81" w14:textId="77777777" w:rsidR="00CF7047" w:rsidRPr="00043161" w:rsidRDefault="00CF7047"/>
    <w:tbl>
      <w:tblPr>
        <w:tblW w:w="9932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9"/>
        <w:gridCol w:w="1218"/>
        <w:gridCol w:w="1841"/>
        <w:gridCol w:w="1099"/>
        <w:gridCol w:w="320"/>
        <w:gridCol w:w="1401"/>
        <w:gridCol w:w="726"/>
        <w:gridCol w:w="2002"/>
        <w:gridCol w:w="6"/>
      </w:tblGrid>
      <w:tr w:rsidR="00043161" w:rsidRPr="00043161" w14:paraId="63D6A231" w14:textId="77777777" w:rsidTr="001F573C">
        <w:trPr>
          <w:trHeight w:val="486"/>
        </w:trPr>
        <w:tc>
          <w:tcPr>
            <w:tcW w:w="2537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37632F" w14:textId="77777777" w:rsidR="008C5201" w:rsidRPr="00043161" w:rsidRDefault="008C5201" w:rsidP="00AA3E6F">
            <w:pPr>
              <w:rPr>
                <w:sz w:val="26"/>
                <w:szCs w:val="26"/>
              </w:rPr>
            </w:pPr>
            <w:proofErr w:type="spellStart"/>
            <w:r w:rsidRPr="00043161">
              <w:rPr>
                <w:sz w:val="26"/>
                <w:szCs w:val="26"/>
              </w:rPr>
              <w:t>Đơn</w:t>
            </w:r>
            <w:proofErr w:type="spellEnd"/>
            <w:r w:rsidRPr="00043161">
              <w:rPr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sz w:val="26"/>
                <w:szCs w:val="26"/>
              </w:rPr>
              <w:t>vị</w:t>
            </w:r>
            <w:proofErr w:type="spellEnd"/>
            <w:r w:rsidRPr="00043161">
              <w:rPr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sz w:val="26"/>
                <w:szCs w:val="26"/>
              </w:rPr>
              <w:t>gửi</w:t>
            </w:r>
            <w:proofErr w:type="spellEnd"/>
            <w:r w:rsidRPr="00043161">
              <w:rPr>
                <w:sz w:val="26"/>
                <w:szCs w:val="26"/>
              </w:rPr>
              <w:t xml:space="preserve"> tin</w:t>
            </w:r>
          </w:p>
        </w:tc>
        <w:tc>
          <w:tcPr>
            <w:tcW w:w="2940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E4C86E" w14:textId="6DF47E52" w:rsidR="008C5201" w:rsidRPr="00043161" w:rsidRDefault="008C5201" w:rsidP="00AA3E6F">
            <w:pPr>
              <w:rPr>
                <w:b/>
                <w:sz w:val="26"/>
                <w:szCs w:val="26"/>
              </w:rPr>
            </w:pPr>
          </w:p>
        </w:tc>
        <w:tc>
          <w:tcPr>
            <w:tcW w:w="172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EA134E" w14:textId="77777777" w:rsidR="008C5201" w:rsidRPr="00043161" w:rsidRDefault="008C5201" w:rsidP="00AA3E6F">
            <w:proofErr w:type="spellStart"/>
            <w:r w:rsidRPr="00043161">
              <w:t>Tháng</w:t>
            </w:r>
            <w:proofErr w:type="spellEnd"/>
            <w:r w:rsidRPr="00043161">
              <w:t xml:space="preserve"> </w:t>
            </w:r>
            <w:proofErr w:type="spellStart"/>
            <w:r w:rsidRPr="00043161">
              <w:t>gửi</w:t>
            </w:r>
            <w:proofErr w:type="spellEnd"/>
          </w:p>
        </w:tc>
        <w:tc>
          <w:tcPr>
            <w:tcW w:w="2734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F36E2E" w14:textId="33446E94" w:rsidR="008C5201" w:rsidRPr="00043161" w:rsidRDefault="0028202E" w:rsidP="00AA3E6F">
            <w:pPr>
              <w:rPr>
                <w:b/>
              </w:rPr>
            </w:pPr>
            <w:r w:rsidRPr="00043161">
              <w:rPr>
                <w:b/>
              </w:rPr>
              <w:t xml:space="preserve">  </w:t>
            </w:r>
            <w:r w:rsidR="00CD078F" w:rsidRPr="00043161">
              <w:rPr>
                <w:b/>
              </w:rPr>
              <w:t>0</w:t>
            </w:r>
            <w:r w:rsidR="00664397" w:rsidRPr="00043161">
              <w:rPr>
                <w:b/>
              </w:rPr>
              <w:t>5</w:t>
            </w:r>
            <w:r w:rsidR="008C5201" w:rsidRPr="00043161">
              <w:rPr>
                <w:b/>
              </w:rPr>
              <w:t>/202</w:t>
            </w:r>
            <w:r w:rsidR="00CD078F" w:rsidRPr="00043161">
              <w:rPr>
                <w:b/>
              </w:rPr>
              <w:t>4</w:t>
            </w:r>
          </w:p>
        </w:tc>
      </w:tr>
      <w:tr w:rsidR="00043161" w:rsidRPr="00043161" w14:paraId="4A9B28AD" w14:textId="6284C854" w:rsidTr="0068654C">
        <w:trPr>
          <w:gridAfter w:val="1"/>
          <w:wAfter w:w="6" w:type="dxa"/>
          <w:trHeight w:val="567"/>
        </w:trPr>
        <w:tc>
          <w:tcPr>
            <w:tcW w:w="2537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191694" w14:textId="77777777" w:rsidR="0028202E" w:rsidRPr="00043161" w:rsidRDefault="0028202E" w:rsidP="00AA3E6F">
            <w:pPr>
              <w:rPr>
                <w:sz w:val="26"/>
                <w:szCs w:val="26"/>
              </w:rPr>
            </w:pPr>
            <w:proofErr w:type="spellStart"/>
            <w:r w:rsidRPr="00043161">
              <w:rPr>
                <w:sz w:val="26"/>
                <w:szCs w:val="26"/>
              </w:rPr>
              <w:t>Mục</w:t>
            </w:r>
            <w:proofErr w:type="spellEnd"/>
            <w:r w:rsidRPr="00043161">
              <w:rPr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sz w:val="26"/>
                <w:szCs w:val="26"/>
              </w:rPr>
              <w:t>yêu</w:t>
            </w:r>
            <w:proofErr w:type="spellEnd"/>
            <w:r w:rsidRPr="00043161">
              <w:rPr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sz w:val="26"/>
                <w:szCs w:val="26"/>
              </w:rPr>
              <w:t>cầu</w:t>
            </w:r>
            <w:proofErr w:type="spellEnd"/>
            <w:r w:rsidRPr="00043161">
              <w:rPr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sz w:val="26"/>
                <w:szCs w:val="26"/>
              </w:rPr>
              <w:t>đăng</w:t>
            </w:r>
            <w:proofErr w:type="spellEnd"/>
            <w:r w:rsidRPr="00043161">
              <w:rPr>
                <w:sz w:val="26"/>
                <w:szCs w:val="26"/>
              </w:rPr>
              <w:t xml:space="preserve"> tin</w:t>
            </w:r>
          </w:p>
        </w:tc>
        <w:tc>
          <w:tcPr>
            <w:tcW w:w="326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393FB1B" w14:textId="77777777" w:rsidR="0028202E" w:rsidRPr="00043161" w:rsidRDefault="0028202E" w:rsidP="0028202E">
            <w:pPr>
              <w:tabs>
                <w:tab w:val="left" w:pos="3600"/>
              </w:tabs>
              <w:spacing w:line="276" w:lineRule="auto"/>
              <w:rPr>
                <w:b/>
                <w:sz w:val="26"/>
                <w:szCs w:val="26"/>
              </w:rPr>
            </w:pPr>
            <w:r w:rsidRPr="00043161">
              <w:rPr>
                <w:b/>
                <w:sz w:val="26"/>
                <w:szCs w:val="26"/>
              </w:rPr>
              <w:t xml:space="preserve">Website </w:t>
            </w:r>
            <w:proofErr w:type="spellStart"/>
            <w:r w:rsidRPr="00043161">
              <w:rPr>
                <w:b/>
                <w:sz w:val="26"/>
                <w:szCs w:val="26"/>
              </w:rPr>
              <w:t>Cục</w:t>
            </w:r>
            <w:proofErr w:type="spellEnd"/>
          </w:p>
          <w:p w14:paraId="0A83487A" w14:textId="254A6C81" w:rsidR="0028202E" w:rsidRPr="00043161" w:rsidRDefault="0028202E" w:rsidP="0028202E">
            <w:pPr>
              <w:spacing w:line="276" w:lineRule="auto"/>
              <w:rPr>
                <w:b/>
                <w:sz w:val="26"/>
                <w:szCs w:val="26"/>
              </w:rPr>
            </w:pPr>
            <w:r w:rsidRPr="00043161">
              <w:rPr>
                <w:b/>
                <w:sz w:val="26"/>
                <w:szCs w:val="26"/>
              </w:rPr>
              <w:t xml:space="preserve">Website </w:t>
            </w:r>
            <w:proofErr w:type="spellStart"/>
            <w:r w:rsidRPr="00043161">
              <w:rPr>
                <w:b/>
                <w:sz w:val="26"/>
                <w:szCs w:val="26"/>
              </w:rPr>
              <w:t>Bộ</w:t>
            </w:r>
            <w:proofErr w:type="spellEnd"/>
            <w:r w:rsidRPr="00043161">
              <w:rPr>
                <w:b/>
                <w:sz w:val="26"/>
                <w:szCs w:val="26"/>
              </w:rPr>
              <w:t xml:space="preserve">                                    </w:t>
            </w:r>
          </w:p>
          <w:p w14:paraId="2984115F" w14:textId="20369D5C" w:rsidR="0028202E" w:rsidRPr="00043161" w:rsidRDefault="0028202E" w:rsidP="000F5A37">
            <w:pPr>
              <w:spacing w:line="276" w:lineRule="auto"/>
              <w:rPr>
                <w:sz w:val="26"/>
                <w:szCs w:val="26"/>
              </w:rPr>
            </w:pPr>
            <w:r w:rsidRPr="00043161">
              <w:rPr>
                <w:b/>
                <w:sz w:val="26"/>
                <w:szCs w:val="26"/>
              </w:rPr>
              <w:t xml:space="preserve">Các </w:t>
            </w:r>
            <w:r w:rsidR="000F5A37" w:rsidRPr="00043161">
              <w:rPr>
                <w:b/>
                <w:sz w:val="26"/>
                <w:szCs w:val="26"/>
              </w:rPr>
              <w:t xml:space="preserve">Báo </w:t>
            </w:r>
            <w:proofErr w:type="spellStart"/>
            <w:r w:rsidR="000F5A37" w:rsidRPr="00043161">
              <w:rPr>
                <w:b/>
                <w:sz w:val="26"/>
                <w:szCs w:val="26"/>
              </w:rPr>
              <w:t>và</w:t>
            </w:r>
            <w:proofErr w:type="spellEnd"/>
            <w:r w:rsidR="000F5A37" w:rsidRPr="00043161">
              <w:rPr>
                <w:b/>
                <w:sz w:val="26"/>
                <w:szCs w:val="26"/>
              </w:rPr>
              <w:t xml:space="preserve"> Trang tin </w:t>
            </w:r>
            <w:proofErr w:type="spellStart"/>
            <w:r w:rsidR="000F5A37" w:rsidRPr="00043161">
              <w:rPr>
                <w:b/>
                <w:sz w:val="26"/>
                <w:szCs w:val="26"/>
              </w:rPr>
              <w:t>khác</w:t>
            </w:r>
            <w:proofErr w:type="spellEnd"/>
            <w:r w:rsidRPr="00043161">
              <w:rPr>
                <w:b/>
                <w:sz w:val="26"/>
                <w:szCs w:val="26"/>
              </w:rPr>
              <w:t xml:space="preserve">      </w:t>
            </w:r>
          </w:p>
        </w:tc>
        <w:tc>
          <w:tcPr>
            <w:tcW w:w="4129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1BB6CB3D" w14:textId="663E8BF6" w:rsidR="0028202E" w:rsidRPr="00043161" w:rsidRDefault="00F32411" w:rsidP="0028202E">
            <w:pPr>
              <w:tabs>
                <w:tab w:val="left" w:pos="3600"/>
              </w:tabs>
              <w:spacing w:line="360" w:lineRule="auto"/>
              <w:rPr>
                <w:b/>
                <w:sz w:val="22"/>
                <w:szCs w:val="26"/>
              </w:rPr>
            </w:pPr>
            <w:r w:rsidRPr="00043161">
              <w:rPr>
                <w:b/>
                <w:sz w:val="22"/>
                <w:szCs w:val="26"/>
              </w:rPr>
              <w:t xml:space="preserve"> </w:t>
            </w:r>
            <w:r w:rsidR="0028202E" w:rsidRPr="00043161">
              <w:rPr>
                <w:b/>
                <w:sz w:val="22"/>
                <w:szCs w:val="26"/>
              </w:rPr>
              <w:sym w:font="Webdings" w:char="F063"/>
            </w:r>
            <w:r w:rsidR="0028202E" w:rsidRPr="00043161">
              <w:rPr>
                <w:b/>
                <w:sz w:val="22"/>
                <w:szCs w:val="26"/>
              </w:rPr>
              <w:t xml:space="preserve">      </w:t>
            </w:r>
            <w:r w:rsidR="009222B4" w:rsidRPr="00043161">
              <w:rPr>
                <w:b/>
                <w:sz w:val="22"/>
                <w:szCs w:val="26"/>
              </w:rPr>
              <w:t xml:space="preserve">        </w:t>
            </w:r>
            <w:r w:rsidR="005317E5" w:rsidRPr="00043161">
              <w:rPr>
                <w:b/>
                <w:sz w:val="22"/>
                <w:szCs w:val="26"/>
              </w:rPr>
              <w:t xml:space="preserve">  </w:t>
            </w:r>
            <w:proofErr w:type="spellStart"/>
            <w:r w:rsidR="000F7FF1" w:rsidRPr="00043161">
              <w:rPr>
                <w:b/>
                <w:szCs w:val="28"/>
              </w:rPr>
              <w:t>Cổng</w:t>
            </w:r>
            <w:proofErr w:type="spellEnd"/>
            <w:r w:rsidR="000F7FF1" w:rsidRPr="00043161">
              <w:rPr>
                <w:b/>
                <w:szCs w:val="28"/>
              </w:rPr>
              <w:t xml:space="preserve"> </w:t>
            </w:r>
            <w:r w:rsidR="009222B4" w:rsidRPr="00043161">
              <w:rPr>
                <w:b/>
                <w:szCs w:val="28"/>
              </w:rPr>
              <w:t>T</w:t>
            </w:r>
            <w:r w:rsidR="000F7FF1" w:rsidRPr="00043161">
              <w:rPr>
                <w:b/>
                <w:szCs w:val="28"/>
              </w:rPr>
              <w:t xml:space="preserve">hông tin FTA </w:t>
            </w:r>
            <w:r w:rsidR="009222B4" w:rsidRPr="00043161">
              <w:rPr>
                <w:b/>
                <w:sz w:val="28"/>
                <w:szCs w:val="28"/>
              </w:rPr>
              <w:t xml:space="preserve"> </w:t>
            </w:r>
            <w:r w:rsidR="005317E5" w:rsidRPr="00043161">
              <w:rPr>
                <w:b/>
                <w:sz w:val="28"/>
                <w:szCs w:val="28"/>
              </w:rPr>
              <w:t xml:space="preserve"> </w:t>
            </w:r>
            <w:r w:rsidR="009222B4" w:rsidRPr="00043161">
              <w:rPr>
                <w:b/>
                <w:sz w:val="22"/>
                <w:szCs w:val="26"/>
              </w:rPr>
              <w:sym w:font="Webdings" w:char="F063"/>
            </w:r>
          </w:p>
          <w:p w14:paraId="5B6E3C5E" w14:textId="7CB0A3F1" w:rsidR="0028202E" w:rsidRPr="00043161" w:rsidRDefault="00F32411" w:rsidP="0028202E">
            <w:pPr>
              <w:tabs>
                <w:tab w:val="left" w:pos="3600"/>
              </w:tabs>
              <w:spacing w:line="360" w:lineRule="auto"/>
              <w:rPr>
                <w:b/>
                <w:sz w:val="22"/>
                <w:szCs w:val="26"/>
              </w:rPr>
            </w:pPr>
            <w:r w:rsidRPr="00043161">
              <w:rPr>
                <w:b/>
                <w:sz w:val="22"/>
                <w:szCs w:val="26"/>
              </w:rPr>
              <w:t xml:space="preserve"> </w:t>
            </w:r>
            <w:r w:rsidR="0028202E" w:rsidRPr="00043161">
              <w:rPr>
                <w:b/>
                <w:sz w:val="22"/>
                <w:szCs w:val="26"/>
              </w:rPr>
              <w:sym w:font="Webdings" w:char="F063"/>
            </w:r>
            <w:r w:rsidR="0028202E" w:rsidRPr="00043161">
              <w:rPr>
                <w:b/>
                <w:sz w:val="22"/>
                <w:szCs w:val="26"/>
              </w:rPr>
              <w:t xml:space="preserve">       </w:t>
            </w:r>
          </w:p>
          <w:p w14:paraId="1B06204D" w14:textId="1F8E3D61" w:rsidR="0028202E" w:rsidRPr="00043161" w:rsidRDefault="00F32411" w:rsidP="001A6336">
            <w:pPr>
              <w:tabs>
                <w:tab w:val="left" w:pos="3600"/>
              </w:tabs>
              <w:spacing w:line="360" w:lineRule="auto"/>
              <w:rPr>
                <w:sz w:val="26"/>
                <w:szCs w:val="26"/>
              </w:rPr>
            </w:pPr>
            <w:r w:rsidRPr="00043161">
              <w:rPr>
                <w:b/>
                <w:sz w:val="22"/>
                <w:szCs w:val="26"/>
              </w:rPr>
              <w:t xml:space="preserve"> </w:t>
            </w:r>
            <w:r w:rsidR="0028202E" w:rsidRPr="00043161">
              <w:rPr>
                <w:b/>
                <w:sz w:val="22"/>
                <w:szCs w:val="26"/>
              </w:rPr>
              <w:sym w:font="Webdings" w:char="F063"/>
            </w:r>
            <w:r w:rsidR="0028202E" w:rsidRPr="00043161">
              <w:rPr>
                <w:b/>
                <w:sz w:val="22"/>
                <w:szCs w:val="26"/>
              </w:rPr>
              <w:t xml:space="preserve"> </w:t>
            </w:r>
          </w:p>
        </w:tc>
      </w:tr>
      <w:tr w:rsidR="00043161" w:rsidRPr="00043161" w14:paraId="499E8000" w14:textId="77777777" w:rsidTr="0068654C">
        <w:trPr>
          <w:gridAfter w:val="1"/>
          <w:wAfter w:w="6" w:type="dxa"/>
          <w:trHeight w:val="999"/>
        </w:trPr>
        <w:tc>
          <w:tcPr>
            <w:tcW w:w="2537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745368" w14:textId="69802BD0" w:rsidR="008C5201" w:rsidRPr="00043161" w:rsidRDefault="008C5201" w:rsidP="00AA3E6F">
            <w:pPr>
              <w:rPr>
                <w:sz w:val="26"/>
                <w:szCs w:val="26"/>
              </w:rPr>
            </w:pPr>
            <w:proofErr w:type="spellStart"/>
            <w:r w:rsidRPr="00043161">
              <w:rPr>
                <w:sz w:val="26"/>
                <w:szCs w:val="26"/>
              </w:rPr>
              <w:t>Ngôn</w:t>
            </w:r>
            <w:proofErr w:type="spellEnd"/>
            <w:r w:rsidRPr="00043161">
              <w:rPr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sz w:val="26"/>
                <w:szCs w:val="26"/>
              </w:rPr>
              <w:t>ngữ</w:t>
            </w:r>
            <w:proofErr w:type="spellEnd"/>
          </w:p>
        </w:tc>
        <w:tc>
          <w:tcPr>
            <w:tcW w:w="1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B09F77" w14:textId="77777777" w:rsidR="008C5201" w:rsidRPr="00043161" w:rsidRDefault="008C5201" w:rsidP="00AA3E6F">
            <w:pPr>
              <w:rPr>
                <w:b/>
                <w:sz w:val="26"/>
                <w:szCs w:val="26"/>
              </w:rPr>
            </w:pPr>
            <w:proofErr w:type="spellStart"/>
            <w:r w:rsidRPr="00043161">
              <w:rPr>
                <w:b/>
                <w:sz w:val="26"/>
                <w:szCs w:val="26"/>
              </w:rPr>
              <w:t>Tiếng</w:t>
            </w:r>
            <w:proofErr w:type="spellEnd"/>
            <w:r w:rsidRPr="00043161">
              <w:rPr>
                <w:b/>
                <w:sz w:val="26"/>
                <w:szCs w:val="26"/>
              </w:rPr>
              <w:t xml:space="preserve"> Việt</w:t>
            </w: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E2542C" w14:textId="77777777" w:rsidR="008C5201" w:rsidRPr="00043161" w:rsidRDefault="008C5201" w:rsidP="00AA3E6F">
            <w:proofErr w:type="spellStart"/>
            <w:r w:rsidRPr="00043161">
              <w:t>Số</w:t>
            </w:r>
            <w:proofErr w:type="spellEnd"/>
            <w:r w:rsidRPr="00043161">
              <w:t xml:space="preserve"> </w:t>
            </w:r>
            <w:proofErr w:type="spellStart"/>
            <w:r w:rsidRPr="00043161">
              <w:t>trang</w:t>
            </w:r>
            <w:proofErr w:type="spellEnd"/>
          </w:p>
          <w:p w14:paraId="51C401D0" w14:textId="77777777" w:rsidR="008C5201" w:rsidRPr="00043161" w:rsidRDefault="008C5201" w:rsidP="00AA3E6F"/>
          <w:p w14:paraId="67865CA1" w14:textId="77777777" w:rsidR="008C5201" w:rsidRPr="00043161" w:rsidRDefault="008C5201" w:rsidP="00AA3E6F">
            <w:proofErr w:type="spellStart"/>
            <w:r w:rsidRPr="00043161">
              <w:t>Số</w:t>
            </w:r>
            <w:proofErr w:type="spellEnd"/>
            <w:r w:rsidRPr="00043161">
              <w:t xml:space="preserve"> </w:t>
            </w:r>
            <w:proofErr w:type="spellStart"/>
            <w:r w:rsidRPr="00043161">
              <w:t>từ</w:t>
            </w:r>
            <w:proofErr w:type="spellEnd"/>
            <w:r w:rsidRPr="00043161">
              <w:t xml:space="preserve"> (words)</w:t>
            </w:r>
          </w:p>
        </w:tc>
        <w:tc>
          <w:tcPr>
            <w:tcW w:w="412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9C850D" w14:textId="36180CD5" w:rsidR="008C5201" w:rsidRPr="00043161" w:rsidRDefault="00BA1359" w:rsidP="00AA3E6F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17A9012B" w14:textId="4C2380B9" w:rsidR="008C5201" w:rsidRPr="00043161" w:rsidRDefault="00BA1359" w:rsidP="00AA3E6F">
            <w:pPr>
              <w:keepNext/>
              <w:keepLines/>
              <w:spacing w:before="200"/>
              <w:outlineLvl w:val="6"/>
              <w:rPr>
                <w:b/>
              </w:rPr>
            </w:pPr>
            <w:r>
              <w:rPr>
                <w:b/>
              </w:rPr>
              <w:t>1195</w:t>
            </w:r>
          </w:p>
        </w:tc>
      </w:tr>
      <w:tr w:rsidR="00043161" w:rsidRPr="00043161" w14:paraId="51A6E516" w14:textId="77777777" w:rsidTr="00664397">
        <w:trPr>
          <w:gridAfter w:val="1"/>
          <w:wAfter w:w="6" w:type="dxa"/>
          <w:trHeight w:val="327"/>
        </w:trPr>
        <w:tc>
          <w:tcPr>
            <w:tcW w:w="2537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A14E60" w14:textId="77777777" w:rsidR="008C5201" w:rsidRPr="00043161" w:rsidRDefault="008C5201" w:rsidP="00AA3E6F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043161">
              <w:rPr>
                <w:b/>
                <w:sz w:val="26"/>
                <w:szCs w:val="26"/>
              </w:rPr>
              <w:t>Xếp</w:t>
            </w:r>
            <w:proofErr w:type="spellEnd"/>
            <w:r w:rsidRPr="00043161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/>
                <w:sz w:val="26"/>
                <w:szCs w:val="26"/>
              </w:rPr>
              <w:t>loại</w:t>
            </w:r>
            <w:proofErr w:type="spellEnd"/>
            <w:r w:rsidRPr="00043161">
              <w:rPr>
                <w:b/>
                <w:sz w:val="26"/>
                <w:szCs w:val="26"/>
              </w:rPr>
              <w:t xml:space="preserve"> Tin/</w:t>
            </w:r>
            <w:proofErr w:type="spellStart"/>
            <w:r w:rsidRPr="00043161">
              <w:rPr>
                <w:b/>
                <w:sz w:val="26"/>
                <w:szCs w:val="26"/>
              </w:rPr>
              <w:t>Bài</w:t>
            </w:r>
            <w:proofErr w:type="spellEnd"/>
          </w:p>
        </w:tc>
        <w:tc>
          <w:tcPr>
            <w:tcW w:w="1841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7489291" w14:textId="77777777" w:rsidR="008C5201" w:rsidRPr="00043161" w:rsidRDefault="008C5201" w:rsidP="00AA3E6F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043161">
              <w:rPr>
                <w:b/>
                <w:sz w:val="26"/>
                <w:szCs w:val="26"/>
              </w:rPr>
              <w:t>Duyệt</w:t>
            </w:r>
            <w:proofErr w:type="spellEnd"/>
            <w:r w:rsidRPr="00043161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/>
                <w:sz w:val="26"/>
                <w:szCs w:val="26"/>
              </w:rPr>
              <w:t>của</w:t>
            </w:r>
            <w:proofErr w:type="spellEnd"/>
            <w:r w:rsidRPr="00043161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/>
                <w:sz w:val="26"/>
                <w:szCs w:val="26"/>
              </w:rPr>
              <w:t>Lãnh</w:t>
            </w:r>
            <w:proofErr w:type="spellEnd"/>
            <w:r w:rsidRPr="00043161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/>
                <w:sz w:val="26"/>
                <w:szCs w:val="26"/>
              </w:rPr>
              <w:t>đạo</w:t>
            </w:r>
            <w:proofErr w:type="spellEnd"/>
            <w:r w:rsidRPr="00043161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/>
                <w:sz w:val="26"/>
                <w:szCs w:val="26"/>
              </w:rPr>
              <w:t>Cục</w:t>
            </w:r>
            <w:proofErr w:type="spellEnd"/>
          </w:p>
        </w:tc>
        <w:tc>
          <w:tcPr>
            <w:tcW w:w="141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62B886A" w14:textId="77777777" w:rsidR="008C5201" w:rsidRPr="00043161" w:rsidRDefault="008C5201" w:rsidP="00AA3E6F">
            <w:pPr>
              <w:jc w:val="center"/>
              <w:rPr>
                <w:b/>
              </w:rPr>
            </w:pPr>
            <w:r w:rsidRPr="00043161">
              <w:rPr>
                <w:b/>
              </w:rPr>
              <w:t xml:space="preserve">Thành </w:t>
            </w:r>
            <w:proofErr w:type="spellStart"/>
            <w:r w:rsidRPr="00043161">
              <w:rPr>
                <w:b/>
              </w:rPr>
              <w:t>viên</w:t>
            </w:r>
            <w:proofErr w:type="spellEnd"/>
          </w:p>
          <w:p w14:paraId="6F1D05C6" w14:textId="77777777" w:rsidR="008C5201" w:rsidRPr="00043161" w:rsidRDefault="008C5201" w:rsidP="00AA3E6F">
            <w:pPr>
              <w:jc w:val="center"/>
              <w:rPr>
                <w:b/>
              </w:rPr>
            </w:pPr>
            <w:r w:rsidRPr="00043161">
              <w:rPr>
                <w:b/>
              </w:rPr>
              <w:t xml:space="preserve">Ban </w:t>
            </w:r>
            <w:proofErr w:type="spellStart"/>
            <w:r w:rsidRPr="00043161">
              <w:rPr>
                <w:b/>
              </w:rPr>
              <w:t>biên</w:t>
            </w:r>
            <w:proofErr w:type="spellEnd"/>
            <w:r w:rsidRPr="00043161">
              <w:rPr>
                <w:b/>
              </w:rPr>
              <w:t xml:space="preserve"> </w:t>
            </w:r>
            <w:proofErr w:type="spellStart"/>
            <w:r w:rsidRPr="00043161">
              <w:rPr>
                <w:b/>
              </w:rPr>
              <w:t>tập</w:t>
            </w:r>
            <w:proofErr w:type="spellEnd"/>
          </w:p>
        </w:tc>
        <w:tc>
          <w:tcPr>
            <w:tcW w:w="212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77370C5" w14:textId="77777777" w:rsidR="008C5201" w:rsidRPr="00043161" w:rsidRDefault="008C5201" w:rsidP="00AA3E6F">
            <w:pPr>
              <w:jc w:val="center"/>
              <w:rPr>
                <w:b/>
              </w:rPr>
            </w:pPr>
            <w:proofErr w:type="spellStart"/>
            <w:r w:rsidRPr="00043161">
              <w:rPr>
                <w:b/>
              </w:rPr>
              <w:t>Biên</w:t>
            </w:r>
            <w:proofErr w:type="spellEnd"/>
            <w:r w:rsidRPr="00043161">
              <w:rPr>
                <w:b/>
              </w:rPr>
              <w:t xml:space="preserve"> </w:t>
            </w:r>
            <w:proofErr w:type="spellStart"/>
            <w:r w:rsidRPr="00043161">
              <w:rPr>
                <w:b/>
              </w:rPr>
              <w:t>tập</w:t>
            </w:r>
            <w:proofErr w:type="spellEnd"/>
            <w:r w:rsidRPr="00043161">
              <w:rPr>
                <w:b/>
              </w:rPr>
              <w:t xml:space="preserve"> </w:t>
            </w:r>
            <w:proofErr w:type="spellStart"/>
            <w:r w:rsidRPr="00043161">
              <w:rPr>
                <w:b/>
              </w:rPr>
              <w:t>viên</w:t>
            </w:r>
            <w:proofErr w:type="spellEnd"/>
            <w:r w:rsidRPr="00043161">
              <w:rPr>
                <w:b/>
              </w:rPr>
              <w:t xml:space="preserve"> </w:t>
            </w:r>
            <w:proofErr w:type="spellStart"/>
            <w:r w:rsidRPr="00043161">
              <w:rPr>
                <w:b/>
              </w:rPr>
              <w:t>chuyên</w:t>
            </w:r>
            <w:proofErr w:type="spellEnd"/>
            <w:r w:rsidRPr="00043161">
              <w:rPr>
                <w:b/>
              </w:rPr>
              <w:t xml:space="preserve"> </w:t>
            </w:r>
            <w:proofErr w:type="spellStart"/>
            <w:r w:rsidRPr="00043161">
              <w:rPr>
                <w:b/>
              </w:rPr>
              <w:t>trách</w:t>
            </w:r>
            <w:proofErr w:type="spellEnd"/>
            <w:r w:rsidRPr="00043161">
              <w:rPr>
                <w:b/>
              </w:rPr>
              <w:t>/</w:t>
            </w:r>
            <w:proofErr w:type="spellStart"/>
            <w:r w:rsidRPr="00043161">
              <w:rPr>
                <w:b/>
              </w:rPr>
              <w:t>Lãnh</w:t>
            </w:r>
            <w:proofErr w:type="spellEnd"/>
            <w:r w:rsidRPr="00043161">
              <w:rPr>
                <w:b/>
              </w:rPr>
              <w:t xml:space="preserve"> </w:t>
            </w:r>
            <w:proofErr w:type="spellStart"/>
            <w:r w:rsidRPr="00043161">
              <w:rPr>
                <w:b/>
              </w:rPr>
              <w:t>đạo</w:t>
            </w:r>
            <w:proofErr w:type="spellEnd"/>
            <w:r w:rsidRPr="00043161">
              <w:rPr>
                <w:b/>
              </w:rPr>
              <w:t xml:space="preserve"> </w:t>
            </w:r>
            <w:proofErr w:type="spellStart"/>
            <w:r w:rsidRPr="00043161">
              <w:rPr>
                <w:b/>
              </w:rPr>
              <w:t>Phòng</w:t>
            </w:r>
            <w:proofErr w:type="spellEnd"/>
          </w:p>
          <w:p w14:paraId="32BA0883" w14:textId="77777777" w:rsidR="008C5201" w:rsidRPr="00043161" w:rsidRDefault="008C5201" w:rsidP="00AA3E6F">
            <w:pPr>
              <w:jc w:val="center"/>
              <w:rPr>
                <w:b/>
              </w:rPr>
            </w:pPr>
          </w:p>
          <w:p w14:paraId="25E5665A" w14:textId="77777777" w:rsidR="008C5201" w:rsidRPr="00043161" w:rsidRDefault="008C5201" w:rsidP="00AA3E6F">
            <w:pPr>
              <w:jc w:val="center"/>
              <w:rPr>
                <w:b/>
              </w:rPr>
            </w:pPr>
          </w:p>
          <w:p w14:paraId="6C945F96" w14:textId="6390498B" w:rsidR="008C5201" w:rsidRPr="00043161" w:rsidRDefault="008C5201" w:rsidP="00AA3E6F">
            <w:pPr>
              <w:jc w:val="center"/>
              <w:rPr>
                <w:b/>
              </w:rPr>
            </w:pPr>
          </w:p>
          <w:p w14:paraId="31624E76" w14:textId="77777777" w:rsidR="001F573C" w:rsidRPr="00043161" w:rsidRDefault="001F573C" w:rsidP="00AA3E6F">
            <w:pPr>
              <w:jc w:val="center"/>
              <w:rPr>
                <w:b/>
              </w:rPr>
            </w:pPr>
          </w:p>
          <w:p w14:paraId="1323F5FB" w14:textId="2368CD1A" w:rsidR="008C5201" w:rsidRPr="00043161" w:rsidRDefault="008C5201" w:rsidP="00AA3E6F">
            <w:pPr>
              <w:rPr>
                <w:b/>
              </w:rPr>
            </w:pPr>
          </w:p>
          <w:p w14:paraId="069115D2" w14:textId="32565660" w:rsidR="001F573C" w:rsidRPr="00043161" w:rsidRDefault="0068654C" w:rsidP="001F573C">
            <w:pPr>
              <w:jc w:val="center"/>
              <w:rPr>
                <w:b/>
              </w:rPr>
            </w:pPr>
            <w:r w:rsidRPr="00043161">
              <w:rPr>
                <w:b/>
              </w:rPr>
              <w:t>Nguyễn Yến Ngọc</w:t>
            </w:r>
          </w:p>
          <w:p w14:paraId="65A054A8" w14:textId="048747B8" w:rsidR="008C5201" w:rsidRPr="00043161" w:rsidRDefault="008C5201" w:rsidP="00AA3E6F">
            <w:pPr>
              <w:jc w:val="center"/>
              <w:rPr>
                <w:b/>
              </w:rPr>
            </w:pPr>
          </w:p>
        </w:tc>
        <w:tc>
          <w:tcPr>
            <w:tcW w:w="2002" w:type="dxa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52DC8CE4" w14:textId="77777777" w:rsidR="008C5201" w:rsidRPr="00043161" w:rsidRDefault="008C5201" w:rsidP="00AA3E6F">
            <w:pPr>
              <w:jc w:val="center"/>
              <w:rPr>
                <w:b/>
              </w:rPr>
            </w:pPr>
            <w:proofErr w:type="spellStart"/>
            <w:r w:rsidRPr="00043161">
              <w:rPr>
                <w:b/>
              </w:rPr>
              <w:t>Người</w:t>
            </w:r>
            <w:proofErr w:type="spellEnd"/>
            <w:r w:rsidRPr="00043161">
              <w:rPr>
                <w:b/>
              </w:rPr>
              <w:t xml:space="preserve"> </w:t>
            </w:r>
            <w:proofErr w:type="spellStart"/>
            <w:r w:rsidRPr="00043161">
              <w:rPr>
                <w:b/>
              </w:rPr>
              <w:t>viết</w:t>
            </w:r>
            <w:proofErr w:type="spellEnd"/>
          </w:p>
          <w:p w14:paraId="7215FB30" w14:textId="77777777" w:rsidR="008C5201" w:rsidRPr="00043161" w:rsidRDefault="008C5201" w:rsidP="00AA3E6F">
            <w:pPr>
              <w:jc w:val="center"/>
              <w:rPr>
                <w:b/>
              </w:rPr>
            </w:pPr>
          </w:p>
          <w:p w14:paraId="50526403" w14:textId="77777777" w:rsidR="008C5201" w:rsidRPr="00043161" w:rsidRDefault="008C5201" w:rsidP="00AA3E6F">
            <w:pPr>
              <w:jc w:val="center"/>
              <w:rPr>
                <w:b/>
              </w:rPr>
            </w:pPr>
          </w:p>
          <w:p w14:paraId="03D39F6F" w14:textId="77777777" w:rsidR="008C5201" w:rsidRPr="00043161" w:rsidRDefault="008C5201" w:rsidP="00AA3E6F">
            <w:pPr>
              <w:jc w:val="center"/>
              <w:rPr>
                <w:b/>
              </w:rPr>
            </w:pPr>
          </w:p>
          <w:p w14:paraId="68981EB8" w14:textId="77777777" w:rsidR="008C5201" w:rsidRPr="00043161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2EDF57EE" w14:textId="77777777" w:rsidR="008C5201" w:rsidRPr="00043161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493D0C31" w14:textId="77777777" w:rsidR="008C5201" w:rsidRPr="00043161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46099F9F" w14:textId="77777777" w:rsidR="008C5201" w:rsidRPr="00043161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7A3D7F35" w14:textId="77777777" w:rsidR="008C5201" w:rsidRPr="00043161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24461C67" w14:textId="77777777" w:rsidR="008C5201" w:rsidRPr="00043161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30BC508B" w14:textId="77777777" w:rsidR="008C5201" w:rsidRPr="00043161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436AB605" w14:textId="77777777" w:rsidR="008C5201" w:rsidRPr="00043161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6FD5A944" w14:textId="77777777" w:rsidR="008C5201" w:rsidRPr="00043161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72CB9288" w14:textId="77777777" w:rsidR="008C5201" w:rsidRPr="00043161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06C15CED" w14:textId="77777777" w:rsidR="008C5201" w:rsidRPr="00043161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4316AAC4" w14:textId="77777777" w:rsidR="008C5201" w:rsidRPr="00043161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57A203A8" w14:textId="77777777" w:rsidR="008C5201" w:rsidRPr="00043161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7D7337CB" w14:textId="77777777" w:rsidR="008C5201" w:rsidRPr="00043161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483058F0" w14:textId="77777777" w:rsidR="008C5201" w:rsidRPr="00043161" w:rsidRDefault="008C5201" w:rsidP="00AA3E6F">
            <w:pPr>
              <w:jc w:val="center"/>
              <w:rPr>
                <w:b/>
              </w:rPr>
            </w:pPr>
          </w:p>
          <w:p w14:paraId="01D0C223" w14:textId="77777777" w:rsidR="008C5201" w:rsidRPr="00043161" w:rsidRDefault="008C5201" w:rsidP="00AA3E6F">
            <w:pPr>
              <w:rPr>
                <w:b/>
                <w:sz w:val="22"/>
                <w:szCs w:val="22"/>
              </w:rPr>
            </w:pPr>
          </w:p>
          <w:p w14:paraId="40B46F1D" w14:textId="77777777" w:rsidR="008C5201" w:rsidRPr="00043161" w:rsidRDefault="008C5201" w:rsidP="00AA3E6F">
            <w:pPr>
              <w:rPr>
                <w:b/>
                <w:sz w:val="22"/>
                <w:szCs w:val="22"/>
              </w:rPr>
            </w:pPr>
          </w:p>
          <w:p w14:paraId="5FDEEF68" w14:textId="77777777" w:rsidR="008C5201" w:rsidRPr="00043161" w:rsidRDefault="008C5201" w:rsidP="00AA3E6F">
            <w:pPr>
              <w:jc w:val="center"/>
              <w:rPr>
                <w:b/>
              </w:rPr>
            </w:pPr>
          </w:p>
          <w:p w14:paraId="3F382478" w14:textId="15C49EED" w:rsidR="001F573C" w:rsidRPr="00043161" w:rsidRDefault="00664397" w:rsidP="00AA3E6F">
            <w:pPr>
              <w:jc w:val="center"/>
              <w:rPr>
                <w:b/>
              </w:rPr>
            </w:pPr>
            <w:r w:rsidRPr="00043161">
              <w:rPr>
                <w:b/>
              </w:rPr>
              <w:t>Nguyễn Anh Thơ</w:t>
            </w:r>
          </w:p>
          <w:p w14:paraId="6517806E" w14:textId="1D2568F4" w:rsidR="00EC4006" w:rsidRPr="00043161" w:rsidRDefault="00EC4006" w:rsidP="00AA3E6F">
            <w:pPr>
              <w:jc w:val="center"/>
              <w:rPr>
                <w:b/>
              </w:rPr>
            </w:pPr>
          </w:p>
        </w:tc>
      </w:tr>
      <w:tr w:rsidR="00043161" w:rsidRPr="00043161" w14:paraId="32155D1F" w14:textId="77777777" w:rsidTr="00664397">
        <w:trPr>
          <w:gridAfter w:val="1"/>
          <w:wAfter w:w="6" w:type="dxa"/>
          <w:trHeight w:val="2325"/>
        </w:trPr>
        <w:tc>
          <w:tcPr>
            <w:tcW w:w="131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AF50C4" w14:textId="77777777" w:rsidR="008C5201" w:rsidRPr="00043161" w:rsidRDefault="008C5201" w:rsidP="00AA3E6F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1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BA2588" w14:textId="77777777" w:rsidR="008C5201" w:rsidRPr="00043161" w:rsidRDefault="008C5201" w:rsidP="00AA3E6F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043161">
              <w:rPr>
                <w:b/>
                <w:sz w:val="26"/>
                <w:szCs w:val="26"/>
              </w:rPr>
              <w:t>Đề</w:t>
            </w:r>
            <w:proofErr w:type="spellEnd"/>
            <w:r w:rsidRPr="00043161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/>
                <w:sz w:val="26"/>
                <w:szCs w:val="26"/>
              </w:rPr>
              <w:t>xuất</w:t>
            </w:r>
            <w:proofErr w:type="spellEnd"/>
          </w:p>
          <w:p w14:paraId="3A3E79F8" w14:textId="77777777" w:rsidR="008C5201" w:rsidRPr="00043161" w:rsidRDefault="008C5201" w:rsidP="00AA3E6F">
            <w:pPr>
              <w:jc w:val="center"/>
              <w:rPr>
                <w:b/>
                <w:sz w:val="26"/>
                <w:szCs w:val="26"/>
              </w:rPr>
            </w:pPr>
          </w:p>
          <w:p w14:paraId="09D9F558" w14:textId="77777777" w:rsidR="008C5201" w:rsidRPr="00043161" w:rsidRDefault="008C5201" w:rsidP="00AA3E6F">
            <w:pPr>
              <w:jc w:val="center"/>
              <w:rPr>
                <w:b/>
                <w:sz w:val="26"/>
                <w:szCs w:val="26"/>
              </w:rPr>
            </w:pPr>
          </w:p>
          <w:p w14:paraId="09A5D7B6" w14:textId="77777777" w:rsidR="008C5201" w:rsidRPr="00043161" w:rsidRDefault="008C5201" w:rsidP="00AA3E6F">
            <w:pPr>
              <w:jc w:val="center"/>
              <w:rPr>
                <w:b/>
                <w:sz w:val="26"/>
                <w:szCs w:val="26"/>
              </w:rPr>
            </w:pPr>
          </w:p>
          <w:p w14:paraId="3A511112" w14:textId="77777777" w:rsidR="008C5201" w:rsidRPr="00043161" w:rsidRDefault="008C5201" w:rsidP="00AA3E6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08C2F8" w14:textId="77777777" w:rsidR="008C5201" w:rsidRPr="00043161" w:rsidRDefault="008C5201" w:rsidP="00AA3E6F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1419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C7F5C" w14:textId="77777777" w:rsidR="008C5201" w:rsidRPr="00043161" w:rsidRDefault="008C5201" w:rsidP="00AA3E6F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2127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1EA90A" w14:textId="77777777" w:rsidR="008C5201" w:rsidRPr="00043161" w:rsidRDefault="008C5201" w:rsidP="00AA3E6F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2002" w:type="dxa"/>
            <w:vMerge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347BC73" w14:textId="77777777" w:rsidR="008C5201" w:rsidRPr="00043161" w:rsidRDefault="008C5201" w:rsidP="00AA3E6F">
            <w:pPr>
              <w:jc w:val="center"/>
              <w:rPr>
                <w:b/>
                <w:highlight w:val="yellow"/>
              </w:rPr>
            </w:pPr>
          </w:p>
        </w:tc>
      </w:tr>
      <w:tr w:rsidR="00043161" w:rsidRPr="00043161" w14:paraId="0411067E" w14:textId="77777777" w:rsidTr="009A74F9">
        <w:trPr>
          <w:trHeight w:val="930"/>
        </w:trPr>
        <w:tc>
          <w:tcPr>
            <w:tcW w:w="9932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A243D4" w14:textId="37A74A33" w:rsidR="008C5201" w:rsidRPr="00043161" w:rsidRDefault="006359DE" w:rsidP="00E66F76">
            <w:pPr>
              <w:spacing w:before="120" w:after="240" w:line="276" w:lineRule="auto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>Cập</w:t>
            </w:r>
            <w:proofErr w:type="spellEnd"/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>nhật</w:t>
            </w:r>
            <w:proofErr w:type="spellEnd"/>
            <w:r w:rsidR="003661A9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>
              <w:rPr>
                <w:rFonts w:eastAsiaTheme="minorHAnsi"/>
                <w:b/>
                <w:sz w:val="26"/>
                <w:szCs w:val="26"/>
                <w:lang w:eastAsia="en-US"/>
              </w:rPr>
              <w:t>một</w:t>
            </w:r>
            <w:proofErr w:type="spellEnd"/>
            <w:r w:rsidR="003661A9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>
              <w:rPr>
                <w:rFonts w:eastAsiaTheme="minorHAnsi"/>
                <w:b/>
                <w:sz w:val="26"/>
                <w:szCs w:val="26"/>
                <w:lang w:eastAsia="en-US"/>
              </w:rPr>
              <w:t>số</w:t>
            </w:r>
            <w:proofErr w:type="spellEnd"/>
            <w:r w:rsidR="003661A9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>thời</w:t>
            </w:r>
            <w:proofErr w:type="spellEnd"/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>hạn</w:t>
            </w:r>
            <w:proofErr w:type="spellEnd"/>
            <w:r w:rsidR="003661A9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>
              <w:rPr>
                <w:rFonts w:eastAsiaTheme="minorHAnsi"/>
                <w:b/>
                <w:sz w:val="26"/>
                <w:szCs w:val="26"/>
                <w:lang w:eastAsia="en-US"/>
              </w:rPr>
              <w:t>trong</w:t>
            </w:r>
            <w:proofErr w:type="spellEnd"/>
            <w:r w:rsidR="003661A9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>
              <w:rPr>
                <w:rFonts w:eastAsiaTheme="minorHAnsi"/>
                <w:b/>
                <w:sz w:val="26"/>
                <w:szCs w:val="26"/>
                <w:lang w:eastAsia="en-US"/>
              </w:rPr>
              <w:t>vụ</w:t>
            </w:r>
            <w:proofErr w:type="spellEnd"/>
            <w:r w:rsidR="003661A9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>
              <w:rPr>
                <w:rFonts w:eastAsiaTheme="minorHAnsi"/>
                <w:b/>
                <w:sz w:val="26"/>
                <w:szCs w:val="26"/>
                <w:lang w:eastAsia="en-US"/>
              </w:rPr>
              <w:t>việc</w:t>
            </w:r>
            <w:proofErr w:type="spellEnd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Hoa </w:t>
            </w:r>
            <w:proofErr w:type="spellStart"/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>Kỳ</w:t>
            </w:r>
            <w:proofErr w:type="spellEnd"/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điều</w:t>
            </w:r>
            <w:proofErr w:type="spellEnd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tra</w:t>
            </w:r>
            <w:proofErr w:type="spellEnd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chống</w:t>
            </w:r>
            <w:proofErr w:type="spellEnd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bán</w:t>
            </w:r>
            <w:proofErr w:type="spellEnd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phá</w:t>
            </w:r>
            <w:proofErr w:type="spellEnd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giá</w:t>
            </w:r>
            <w:proofErr w:type="spellEnd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và</w:t>
            </w:r>
            <w:proofErr w:type="spellEnd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chống</w:t>
            </w:r>
            <w:proofErr w:type="spellEnd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trợ</w:t>
            </w:r>
            <w:proofErr w:type="spellEnd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cấp</w:t>
            </w:r>
            <w:proofErr w:type="spellEnd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với</w:t>
            </w:r>
            <w:proofErr w:type="spellEnd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r w:rsidR="0066439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pin </w:t>
            </w:r>
            <w:proofErr w:type="spellStart"/>
            <w:r w:rsidR="0066439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năng</w:t>
            </w:r>
            <w:proofErr w:type="spellEnd"/>
            <w:r w:rsidR="0066439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6439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lượng</w:t>
            </w:r>
            <w:proofErr w:type="spellEnd"/>
            <w:r w:rsidR="0066439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6439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mặt</w:t>
            </w:r>
            <w:proofErr w:type="spellEnd"/>
            <w:r w:rsidR="0066439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6439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trời</w:t>
            </w:r>
            <w:proofErr w:type="spellEnd"/>
            <w:r w:rsidR="0066439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6439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nhập</w:t>
            </w:r>
            <w:proofErr w:type="spellEnd"/>
            <w:r w:rsidR="0066439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6439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khẩu</w:t>
            </w:r>
            <w:proofErr w:type="spellEnd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từ</w:t>
            </w:r>
            <w:proofErr w:type="spellEnd"/>
            <w:r w:rsidR="00364D67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Việt Nam</w:t>
            </w:r>
          </w:p>
        </w:tc>
      </w:tr>
      <w:tr w:rsidR="00043161" w:rsidRPr="00043161" w14:paraId="2501A01A" w14:textId="77777777" w:rsidTr="00F9548B">
        <w:trPr>
          <w:trHeight w:val="558"/>
        </w:trPr>
        <w:tc>
          <w:tcPr>
            <w:tcW w:w="9932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6CD69BD" w14:textId="19A047C2" w:rsidR="007B651B" w:rsidRPr="00043161" w:rsidRDefault="007B651B" w:rsidP="007B651B">
            <w:pPr>
              <w:spacing w:before="120" w:after="240" w:line="276" w:lineRule="auto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Ngày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14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tháng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năm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2024,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Bộ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Thương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mại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Hoa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Kỳ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(DOC)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đã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chính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thức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khởi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xướng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điều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tra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chống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bán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phá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giá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(CBPG)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và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chống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trợ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cấp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(CTC)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với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pin </w:t>
            </w:r>
            <w:proofErr w:type="spellStart"/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>năng</w:t>
            </w:r>
            <w:proofErr w:type="spellEnd"/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>lượng</w:t>
            </w:r>
            <w:proofErr w:type="spellEnd"/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>mặt</w:t>
            </w:r>
            <w:proofErr w:type="spellEnd"/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>trời</w:t>
            </w:r>
            <w:proofErr w:type="spellEnd"/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>nhập</w:t>
            </w:r>
            <w:proofErr w:type="spellEnd"/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>khẩu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từ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>Ma-</w:t>
            </w:r>
            <w:proofErr w:type="spellStart"/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>lai</w:t>
            </w:r>
            <w:proofErr w:type="spellEnd"/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>-xi</w:t>
            </w:r>
            <w:r w:rsidR="00990FB4" w:rsidRPr="00043161">
              <w:rPr>
                <w:rFonts w:eastAsiaTheme="minorHAnsi"/>
                <w:sz w:val="26"/>
                <w:szCs w:val="26"/>
                <w:lang w:eastAsia="en-US"/>
              </w:rPr>
              <w:t>-</w:t>
            </w:r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>a, Cam</w:t>
            </w:r>
            <w:r w:rsidR="00990FB4" w:rsidRPr="00043161">
              <w:rPr>
                <w:rFonts w:eastAsiaTheme="minorHAnsi"/>
                <w:sz w:val="26"/>
                <w:szCs w:val="26"/>
                <w:lang w:eastAsia="en-US"/>
              </w:rPr>
              <w:t>-</w:t>
            </w:r>
            <w:proofErr w:type="spellStart"/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>pu</w:t>
            </w:r>
            <w:proofErr w:type="spellEnd"/>
            <w:r w:rsidR="00990FB4" w:rsidRPr="00043161">
              <w:rPr>
                <w:rFonts w:eastAsiaTheme="minorHAnsi"/>
                <w:sz w:val="26"/>
                <w:szCs w:val="26"/>
                <w:lang w:eastAsia="en-US"/>
              </w:rPr>
              <w:t>-</w:t>
            </w:r>
            <w:r w:rsidR="00664397" w:rsidRPr="00043161">
              <w:rPr>
                <w:rFonts w:eastAsiaTheme="minorHAnsi"/>
                <w:sz w:val="26"/>
                <w:szCs w:val="26"/>
                <w:lang w:eastAsia="en-US"/>
              </w:rPr>
              <w:t>chia</w:t>
            </w:r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, Thái Lan </w:t>
            </w:r>
            <w:proofErr w:type="spellStart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>và</w:t>
            </w:r>
            <w:proofErr w:type="spellEnd"/>
            <w:r w:rsidRPr="00043161">
              <w:rPr>
                <w:rFonts w:eastAsiaTheme="minorHAnsi"/>
                <w:sz w:val="26"/>
                <w:szCs w:val="26"/>
                <w:lang w:eastAsia="en-US"/>
              </w:rPr>
              <w:t xml:space="preserve"> Việt Nam.</w:t>
            </w:r>
          </w:p>
          <w:p w14:paraId="615E38B2" w14:textId="77777777" w:rsidR="007B651B" w:rsidRPr="00043161" w:rsidRDefault="007B651B" w:rsidP="007B651B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bookmarkStart w:id="0" w:name="_Hlk136623693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1. Thông tin </w:t>
            </w:r>
            <w:proofErr w:type="spellStart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chung</w:t>
            </w:r>
            <w:proofErr w:type="spellEnd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về</w:t>
            </w:r>
            <w:proofErr w:type="spellEnd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vụ</w:t>
            </w:r>
            <w:proofErr w:type="spellEnd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việc</w:t>
            </w:r>
            <w:proofErr w:type="spellEnd"/>
          </w:p>
          <w:bookmarkEnd w:id="0"/>
          <w:p w14:paraId="1618A796" w14:textId="77777777" w:rsidR="003661A9" w:rsidRPr="00043161" w:rsidRDefault="003661A9" w:rsidP="003661A9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-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Mã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vụ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việc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: A-552-841</w:t>
            </w: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(CBPG)</w:t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và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C-552-842</w:t>
            </w: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(CTC)</w:t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.</w:t>
            </w:r>
          </w:p>
          <w:p w14:paraId="77803D8F" w14:textId="4E9FFA80" w:rsidR="00E0161C" w:rsidRPr="000621A7" w:rsidRDefault="007B651B" w:rsidP="000621A7">
            <w:pPr>
              <w:spacing w:before="100" w:beforeAutospacing="1" w:after="100" w:afterAutospacing="1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-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Sản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phẩm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bị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điều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tra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: </w:t>
            </w:r>
            <w:proofErr w:type="spellStart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>Một</w:t>
            </w:r>
            <w:proofErr w:type="spellEnd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>số</w:t>
            </w:r>
            <w:proofErr w:type="spellEnd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>sản</w:t>
            </w:r>
            <w:proofErr w:type="spellEnd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>phẩm</w:t>
            </w:r>
            <w:proofErr w:type="spellEnd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pin </w:t>
            </w:r>
            <w:proofErr w:type="spellStart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>năng</w:t>
            </w:r>
            <w:proofErr w:type="spellEnd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>lượng</w:t>
            </w:r>
            <w:proofErr w:type="spellEnd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>mặt</w:t>
            </w:r>
            <w:proofErr w:type="spellEnd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>trời</w:t>
            </w:r>
            <w:proofErr w:type="spellEnd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>thuộc</w:t>
            </w:r>
            <w:proofErr w:type="spellEnd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>mã</w:t>
            </w:r>
            <w:proofErr w:type="spellEnd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HS 8501.61.0000, 8507.20.80, 8541.42.0010, </w:t>
            </w:r>
            <w:proofErr w:type="spellStart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>và</w:t>
            </w:r>
            <w:proofErr w:type="spellEnd"/>
            <w:r w:rsidR="003661A9" w:rsidRPr="003661A9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8541.43.0010</w:t>
            </w:r>
            <w:r w:rsidR="00E0161C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.</w:t>
            </w:r>
          </w:p>
          <w:p w14:paraId="55852022" w14:textId="5C718950" w:rsidR="007B651B" w:rsidRPr="00043161" w:rsidRDefault="007B651B" w:rsidP="007B651B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- </w:t>
            </w:r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Nguyên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đơn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: </w:t>
            </w:r>
            <w:r w:rsidR="00F60137" w:rsidRPr="00043161">
              <w:rPr>
                <w:bCs/>
                <w:sz w:val="26"/>
                <w:szCs w:val="26"/>
              </w:rPr>
              <w:t xml:space="preserve">Liên </w:t>
            </w:r>
            <w:proofErr w:type="spellStart"/>
            <w:r w:rsidR="00F60137" w:rsidRPr="00043161">
              <w:rPr>
                <w:bCs/>
                <w:sz w:val="26"/>
                <w:szCs w:val="26"/>
              </w:rPr>
              <w:t>minh</w:t>
            </w:r>
            <w:proofErr w:type="spellEnd"/>
            <w:r w:rsidR="00F60137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F60137" w:rsidRPr="00043161">
              <w:rPr>
                <w:bCs/>
                <w:sz w:val="26"/>
                <w:szCs w:val="26"/>
              </w:rPr>
              <w:t>Ủy</w:t>
            </w:r>
            <w:proofErr w:type="spellEnd"/>
            <w:r w:rsidR="00F60137" w:rsidRPr="00043161">
              <w:rPr>
                <w:bCs/>
                <w:sz w:val="26"/>
                <w:szCs w:val="26"/>
              </w:rPr>
              <w:t xml:space="preserve"> ban </w:t>
            </w:r>
            <w:proofErr w:type="spellStart"/>
            <w:r w:rsidR="00F60137" w:rsidRPr="00043161">
              <w:rPr>
                <w:bCs/>
                <w:sz w:val="26"/>
                <w:szCs w:val="26"/>
              </w:rPr>
              <w:t>thương</w:t>
            </w:r>
            <w:proofErr w:type="spellEnd"/>
            <w:r w:rsidR="00F60137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F60137" w:rsidRPr="00043161">
              <w:rPr>
                <w:bCs/>
                <w:sz w:val="26"/>
                <w:szCs w:val="26"/>
              </w:rPr>
              <w:t>mại</w:t>
            </w:r>
            <w:proofErr w:type="spellEnd"/>
            <w:r w:rsidR="00F60137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F60137" w:rsidRPr="00043161">
              <w:rPr>
                <w:bCs/>
                <w:sz w:val="26"/>
                <w:szCs w:val="26"/>
              </w:rPr>
              <w:t>sản</w:t>
            </w:r>
            <w:proofErr w:type="spellEnd"/>
            <w:r w:rsidR="00F60137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F60137" w:rsidRPr="00043161">
              <w:rPr>
                <w:bCs/>
                <w:sz w:val="26"/>
                <w:szCs w:val="26"/>
              </w:rPr>
              <w:t>xuất</w:t>
            </w:r>
            <w:proofErr w:type="spellEnd"/>
            <w:r w:rsidR="00F60137" w:rsidRPr="00043161">
              <w:rPr>
                <w:bCs/>
                <w:sz w:val="26"/>
                <w:szCs w:val="26"/>
              </w:rPr>
              <w:t xml:space="preserve"> Pin </w:t>
            </w:r>
            <w:proofErr w:type="spellStart"/>
            <w:r w:rsidR="00F60137" w:rsidRPr="00043161">
              <w:rPr>
                <w:bCs/>
                <w:sz w:val="26"/>
                <w:szCs w:val="26"/>
              </w:rPr>
              <w:t>năng</w:t>
            </w:r>
            <w:proofErr w:type="spellEnd"/>
            <w:r w:rsidR="00F60137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F60137" w:rsidRPr="00043161">
              <w:rPr>
                <w:bCs/>
                <w:sz w:val="26"/>
                <w:szCs w:val="26"/>
              </w:rPr>
              <w:t>lượng</w:t>
            </w:r>
            <w:proofErr w:type="spellEnd"/>
            <w:r w:rsidR="00F60137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F60137" w:rsidRPr="00043161">
              <w:rPr>
                <w:bCs/>
                <w:sz w:val="26"/>
                <w:szCs w:val="26"/>
              </w:rPr>
              <w:t>mặt</w:t>
            </w:r>
            <w:proofErr w:type="spellEnd"/>
            <w:r w:rsidR="00F60137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F60137" w:rsidRPr="00043161">
              <w:rPr>
                <w:bCs/>
                <w:sz w:val="26"/>
                <w:szCs w:val="26"/>
              </w:rPr>
              <w:t>trời</w:t>
            </w:r>
            <w:proofErr w:type="spellEnd"/>
            <w:r w:rsidR="00F60137" w:rsidRPr="00043161">
              <w:rPr>
                <w:bCs/>
                <w:sz w:val="26"/>
                <w:szCs w:val="26"/>
              </w:rPr>
              <w:t xml:space="preserve"> Hoa </w:t>
            </w:r>
            <w:proofErr w:type="spellStart"/>
            <w:r w:rsidR="00F60137" w:rsidRPr="00043161">
              <w:rPr>
                <w:bCs/>
                <w:sz w:val="26"/>
                <w:szCs w:val="26"/>
              </w:rPr>
              <w:t>Kỳ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. </w:t>
            </w:r>
          </w:p>
          <w:p w14:paraId="4BA5468A" w14:textId="01B9078F" w:rsidR="003661A9" w:rsidRDefault="007B651B" w:rsidP="003661A9">
            <w:pPr>
              <w:spacing w:before="100" w:beforeAutospacing="1" w:after="100" w:afterAutospacing="1"/>
              <w:ind w:firstLine="709"/>
              <w:jc w:val="both"/>
              <w:rPr>
                <w:bCs/>
                <w:sz w:val="28"/>
                <w:szCs w:val="28"/>
              </w:rPr>
            </w:pP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- </w:t>
            </w:r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Doanh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nghiệp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xuất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khẩu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bị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cáo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buộc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bán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phá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giá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và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được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trợ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cấp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: </w:t>
            </w:r>
            <w:r w:rsidR="003661A9">
              <w:rPr>
                <w:bCs/>
                <w:sz w:val="26"/>
                <w:szCs w:val="26"/>
              </w:rPr>
              <w:t xml:space="preserve">Nguyên </w:t>
            </w:r>
            <w:proofErr w:type="spellStart"/>
            <w:r w:rsidR="003661A9">
              <w:rPr>
                <w:bCs/>
                <w:sz w:val="26"/>
                <w:szCs w:val="26"/>
              </w:rPr>
              <w:t>đơn</w:t>
            </w:r>
            <w:proofErr w:type="spellEnd"/>
            <w:r w:rsidR="003661A9" w:rsidRPr="000621A7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3661A9" w:rsidRPr="000621A7">
              <w:rPr>
                <w:bCs/>
                <w:sz w:val="26"/>
                <w:szCs w:val="26"/>
              </w:rPr>
              <w:t>cáo</w:t>
            </w:r>
            <w:proofErr w:type="spellEnd"/>
            <w:r w:rsidR="003661A9" w:rsidRPr="000621A7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3661A9" w:rsidRPr="000621A7">
              <w:rPr>
                <w:bCs/>
                <w:sz w:val="26"/>
                <w:szCs w:val="26"/>
              </w:rPr>
              <w:t>buộc</w:t>
            </w:r>
            <w:proofErr w:type="spellEnd"/>
            <w:r w:rsidR="003661A9" w:rsidRPr="000621A7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3661A9" w:rsidRPr="000621A7">
              <w:rPr>
                <w:bCs/>
                <w:sz w:val="26"/>
                <w:szCs w:val="26"/>
              </w:rPr>
              <w:t>khoảng</w:t>
            </w:r>
            <w:proofErr w:type="spellEnd"/>
            <w:r w:rsidR="003661A9" w:rsidRPr="000621A7">
              <w:rPr>
                <w:bCs/>
                <w:sz w:val="26"/>
                <w:szCs w:val="26"/>
              </w:rPr>
              <w:t xml:space="preserve"> 50 </w:t>
            </w:r>
            <w:proofErr w:type="spellStart"/>
            <w:r w:rsidR="003661A9" w:rsidRPr="000621A7">
              <w:rPr>
                <w:bCs/>
                <w:sz w:val="26"/>
                <w:szCs w:val="26"/>
              </w:rPr>
              <w:t>doanh</w:t>
            </w:r>
            <w:proofErr w:type="spellEnd"/>
            <w:r w:rsidR="003661A9" w:rsidRPr="000621A7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3661A9" w:rsidRPr="000621A7">
              <w:rPr>
                <w:bCs/>
                <w:sz w:val="26"/>
                <w:szCs w:val="26"/>
              </w:rPr>
              <w:t>nghiệp</w:t>
            </w:r>
            <w:proofErr w:type="spellEnd"/>
            <w:r w:rsidR="003661A9" w:rsidRPr="000621A7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3661A9" w:rsidRPr="000621A7">
              <w:rPr>
                <w:bCs/>
                <w:sz w:val="26"/>
                <w:szCs w:val="26"/>
              </w:rPr>
              <w:t>xuất</w:t>
            </w:r>
            <w:proofErr w:type="spellEnd"/>
            <w:r w:rsidR="003661A9" w:rsidRPr="000621A7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3661A9" w:rsidRPr="000621A7">
              <w:rPr>
                <w:bCs/>
                <w:sz w:val="26"/>
                <w:szCs w:val="26"/>
              </w:rPr>
              <w:t>khẩu</w:t>
            </w:r>
            <w:proofErr w:type="spellEnd"/>
            <w:r w:rsidR="003661A9" w:rsidRPr="000621A7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3661A9" w:rsidRPr="000621A7">
              <w:rPr>
                <w:bCs/>
                <w:sz w:val="26"/>
                <w:szCs w:val="26"/>
              </w:rPr>
              <w:t>của</w:t>
            </w:r>
            <w:proofErr w:type="spellEnd"/>
            <w:r w:rsidR="003661A9" w:rsidRPr="000621A7">
              <w:rPr>
                <w:bCs/>
                <w:sz w:val="26"/>
                <w:szCs w:val="26"/>
              </w:rPr>
              <w:t xml:space="preserve"> Việt Nam </w:t>
            </w:r>
            <w:proofErr w:type="spellStart"/>
            <w:r w:rsidR="003661A9" w:rsidRPr="000621A7">
              <w:rPr>
                <w:bCs/>
                <w:sz w:val="26"/>
                <w:szCs w:val="26"/>
              </w:rPr>
              <w:t>bán</w:t>
            </w:r>
            <w:proofErr w:type="spellEnd"/>
            <w:r w:rsidR="003661A9" w:rsidRPr="000621A7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3661A9" w:rsidRPr="000621A7">
              <w:rPr>
                <w:bCs/>
                <w:sz w:val="26"/>
                <w:szCs w:val="26"/>
              </w:rPr>
              <w:t>phá</w:t>
            </w:r>
            <w:proofErr w:type="spellEnd"/>
            <w:r w:rsidR="003661A9" w:rsidRPr="000621A7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3661A9" w:rsidRPr="000621A7">
              <w:rPr>
                <w:bCs/>
                <w:sz w:val="26"/>
                <w:szCs w:val="26"/>
              </w:rPr>
              <w:t>giá</w:t>
            </w:r>
            <w:proofErr w:type="spellEnd"/>
            <w:r w:rsidR="003661A9" w:rsidRPr="000621A7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3661A9" w:rsidRPr="000621A7">
              <w:rPr>
                <w:bCs/>
                <w:sz w:val="26"/>
                <w:szCs w:val="26"/>
              </w:rPr>
              <w:t>và</w:t>
            </w:r>
            <w:proofErr w:type="spellEnd"/>
            <w:r w:rsidR="003661A9" w:rsidRPr="000621A7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3661A9" w:rsidRPr="000621A7">
              <w:rPr>
                <w:bCs/>
                <w:sz w:val="26"/>
                <w:szCs w:val="26"/>
              </w:rPr>
              <w:t>được</w:t>
            </w:r>
            <w:proofErr w:type="spellEnd"/>
            <w:r w:rsidR="003661A9" w:rsidRPr="000621A7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3661A9" w:rsidRPr="000621A7">
              <w:rPr>
                <w:bCs/>
                <w:sz w:val="26"/>
                <w:szCs w:val="26"/>
              </w:rPr>
              <w:t>trợ</w:t>
            </w:r>
            <w:proofErr w:type="spellEnd"/>
            <w:r w:rsidR="003661A9" w:rsidRPr="000621A7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3661A9" w:rsidRPr="000621A7">
              <w:rPr>
                <w:bCs/>
                <w:sz w:val="26"/>
                <w:szCs w:val="26"/>
              </w:rPr>
              <w:t>cấp</w:t>
            </w:r>
            <w:proofErr w:type="spellEnd"/>
            <w:r w:rsidR="003661A9" w:rsidRPr="000621A7">
              <w:rPr>
                <w:bCs/>
                <w:sz w:val="26"/>
                <w:szCs w:val="26"/>
              </w:rPr>
              <w:t>.</w:t>
            </w:r>
            <w:r w:rsidR="003661A9">
              <w:rPr>
                <w:bCs/>
                <w:sz w:val="28"/>
                <w:szCs w:val="28"/>
              </w:rPr>
              <w:t xml:space="preserve">  </w:t>
            </w:r>
          </w:p>
          <w:p w14:paraId="43FA2C50" w14:textId="77777777" w:rsidR="003661A9" w:rsidRPr="00043161" w:rsidRDefault="003661A9" w:rsidP="003661A9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-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Ngày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khởi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xướng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điều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tra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: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Ngày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14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tháng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5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năm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2024.</w:t>
            </w:r>
          </w:p>
          <w:p w14:paraId="6AAFDE00" w14:textId="1676221D" w:rsidR="007B651B" w:rsidRPr="00043161" w:rsidRDefault="007B651B" w:rsidP="007B651B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-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Thời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kỳ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điều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tra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CBPG</w:t>
            </w:r>
            <w:r w:rsidR="00B2371F"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="00B2371F"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và</w:t>
            </w:r>
            <w:proofErr w:type="spellEnd"/>
            <w:r w:rsidR="00B2371F"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CTC</w:t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:</w:t>
            </w:r>
          </w:p>
          <w:p w14:paraId="77E492DE" w14:textId="65A5B1DE" w:rsidR="007B651B" w:rsidRPr="00043161" w:rsidRDefault="007B651B" w:rsidP="007B651B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+ CBPG: 01/</w:t>
            </w:r>
            <w:r w:rsidR="00854EF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10/2023</w:t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-</w:t>
            </w:r>
            <w:r w:rsidR="00D90EC5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31</w:t>
            </w:r>
            <w:r w:rsidR="00854EF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/3</w:t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/202</w:t>
            </w:r>
            <w:r w:rsidR="00854EF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4</w:t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;</w:t>
            </w:r>
          </w:p>
          <w:p w14:paraId="16E34BEE" w14:textId="7A93185B" w:rsidR="007B651B" w:rsidRPr="00043161" w:rsidRDefault="007B651B" w:rsidP="007B651B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+ CTC: 01/</w:t>
            </w:r>
            <w:r w:rsidR="00854EF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01</w:t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-31/12/2023.</w:t>
            </w:r>
          </w:p>
          <w:p w14:paraId="6970464D" w14:textId="77777777" w:rsidR="007B651B" w:rsidRPr="00043161" w:rsidRDefault="007B651B" w:rsidP="007B651B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1.1. Thông tin </w:t>
            </w:r>
            <w:proofErr w:type="spellStart"/>
            <w:r w:rsidRPr="00043161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cáo</w:t>
            </w:r>
            <w:proofErr w:type="spellEnd"/>
            <w:r w:rsidRPr="00043161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buộc</w:t>
            </w:r>
            <w:proofErr w:type="spellEnd"/>
            <w:r w:rsidRPr="00043161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bán</w:t>
            </w:r>
            <w:proofErr w:type="spellEnd"/>
            <w:r w:rsidRPr="00043161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phá</w:t>
            </w:r>
            <w:proofErr w:type="spellEnd"/>
            <w:r w:rsidRPr="00043161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giá</w:t>
            </w:r>
            <w:proofErr w:type="spellEnd"/>
          </w:p>
          <w:p w14:paraId="1345DDF4" w14:textId="09AB5773" w:rsidR="007B651B" w:rsidRPr="00043161" w:rsidRDefault="007B651B" w:rsidP="007B651B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Cs/>
                <w:i/>
                <w:iCs/>
                <w:sz w:val="26"/>
                <w:szCs w:val="26"/>
                <w:lang w:eastAsia="en-US"/>
              </w:rPr>
              <w:lastRenderedPageBreak/>
              <w:t xml:space="preserve">-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Biên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độ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CBPG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bị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cáo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buộc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với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hàng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hóa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xuất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khẩu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từ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Việt Nam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là</w:t>
            </w:r>
            <w:proofErr w:type="spellEnd"/>
            <w:r w:rsidR="00D90EC5" w:rsidRPr="00043161">
              <w:rPr>
                <w:bCs/>
                <w:i/>
                <w:iCs/>
                <w:sz w:val="26"/>
                <w:szCs w:val="26"/>
              </w:rPr>
              <w:t xml:space="preserve"> </w:t>
            </w:r>
            <w:r w:rsidR="00D90EC5" w:rsidRPr="00043161">
              <w:rPr>
                <w:bCs/>
                <w:sz w:val="26"/>
                <w:szCs w:val="26"/>
              </w:rPr>
              <w:t>271,28% (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cao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nhất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trong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04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nước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bị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cáo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buộc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>: Cam-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pu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>-chia: 125,37%; Ma-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lai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>-xi-a: 81,22%; Thái Lan: 70,36%).</w:t>
            </w:r>
          </w:p>
          <w:p w14:paraId="7A609548" w14:textId="4214DCBC" w:rsidR="007B651B" w:rsidRPr="00043161" w:rsidRDefault="007B651B" w:rsidP="007B651B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-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Nước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và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giá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trị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thay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thế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: </w:t>
            </w:r>
            <w:r w:rsidR="00C71D59">
              <w:rPr>
                <w:rFonts w:eastAsiaTheme="minorHAnsi"/>
                <w:bCs/>
                <w:sz w:val="26"/>
                <w:szCs w:val="26"/>
                <w:lang w:eastAsia="en-US"/>
              </w:rPr>
              <w:t>D</w:t>
            </w:r>
            <w:r w:rsidR="00D90EC5" w:rsidRPr="00043161">
              <w:rPr>
                <w:bCs/>
                <w:sz w:val="26"/>
                <w:szCs w:val="26"/>
              </w:rPr>
              <w:t xml:space="preserve">o Hoa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Kỳ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vẫn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coi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Việt Nam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là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quốc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gia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có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nền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kinh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tế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phi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thị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trường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,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nên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DOC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sẽ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sử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dụng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các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giá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trị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thay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thế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của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quốc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gia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thứ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ba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để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tính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toán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biên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độ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phá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giá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cho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Việt Nam</w:t>
            </w:r>
            <w:r w:rsidR="006359DE">
              <w:rPr>
                <w:bCs/>
                <w:sz w:val="26"/>
                <w:szCs w:val="26"/>
              </w:rPr>
              <w:t xml:space="preserve"> (</w:t>
            </w:r>
            <w:proofErr w:type="spellStart"/>
            <w:r w:rsidR="006359DE">
              <w:rPr>
                <w:bCs/>
                <w:sz w:val="26"/>
                <w:szCs w:val="26"/>
              </w:rPr>
              <w:t>t</w:t>
            </w:r>
            <w:r w:rsidR="00D90EC5" w:rsidRPr="00043161">
              <w:rPr>
                <w:bCs/>
                <w:sz w:val="26"/>
                <w:szCs w:val="26"/>
              </w:rPr>
              <w:t>rong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vụ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việc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này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, Nguyên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đơn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D90EC5" w:rsidRPr="00043161">
              <w:rPr>
                <w:bCs/>
                <w:sz w:val="26"/>
                <w:szCs w:val="26"/>
              </w:rPr>
              <w:t>đề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6359DE">
              <w:rPr>
                <w:bCs/>
                <w:sz w:val="26"/>
                <w:szCs w:val="26"/>
              </w:rPr>
              <w:t>xuất</w:t>
            </w:r>
            <w:proofErr w:type="spellEnd"/>
            <w:r w:rsidR="006359DE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6359DE">
              <w:rPr>
                <w:bCs/>
                <w:sz w:val="26"/>
                <w:szCs w:val="26"/>
              </w:rPr>
              <w:t>quốc</w:t>
            </w:r>
            <w:proofErr w:type="spellEnd"/>
            <w:r w:rsidR="006359DE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6359DE">
              <w:rPr>
                <w:bCs/>
                <w:sz w:val="26"/>
                <w:szCs w:val="26"/>
              </w:rPr>
              <w:t>gia</w:t>
            </w:r>
            <w:proofErr w:type="spellEnd"/>
            <w:r w:rsidR="006359DE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6359DE">
              <w:rPr>
                <w:bCs/>
                <w:sz w:val="26"/>
                <w:szCs w:val="26"/>
              </w:rPr>
              <w:t>thay</w:t>
            </w:r>
            <w:proofErr w:type="spellEnd"/>
            <w:r w:rsidR="006359DE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6359DE">
              <w:rPr>
                <w:bCs/>
                <w:sz w:val="26"/>
                <w:szCs w:val="26"/>
              </w:rPr>
              <w:t>thế</w:t>
            </w:r>
            <w:proofErr w:type="spellEnd"/>
            <w:r w:rsidR="006359DE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6359DE">
              <w:rPr>
                <w:bCs/>
                <w:sz w:val="26"/>
                <w:szCs w:val="26"/>
              </w:rPr>
              <w:t>là</w:t>
            </w:r>
            <w:proofErr w:type="spellEnd"/>
            <w:r w:rsidR="00D90EC5" w:rsidRPr="00043161">
              <w:rPr>
                <w:bCs/>
                <w:sz w:val="26"/>
                <w:szCs w:val="26"/>
              </w:rPr>
              <w:t xml:space="preserve"> In-đô-nê-xi-a</w:t>
            </w:r>
            <w:r w:rsidR="006359DE">
              <w:rPr>
                <w:bCs/>
                <w:sz w:val="26"/>
                <w:szCs w:val="26"/>
              </w:rPr>
              <w:t>)</w:t>
            </w:r>
            <w:r w:rsidR="00D90EC5" w:rsidRPr="00043161">
              <w:rPr>
                <w:bCs/>
                <w:sz w:val="26"/>
                <w:szCs w:val="26"/>
              </w:rPr>
              <w:t xml:space="preserve">. </w:t>
            </w:r>
          </w:p>
          <w:p w14:paraId="664BDB79" w14:textId="77777777" w:rsidR="007B651B" w:rsidRPr="00043161" w:rsidRDefault="007B651B" w:rsidP="007B651B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1.2. Thông tin </w:t>
            </w:r>
            <w:proofErr w:type="spellStart"/>
            <w:r w:rsidRPr="00043161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cáo</w:t>
            </w:r>
            <w:proofErr w:type="spellEnd"/>
            <w:r w:rsidRPr="00043161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buộc</w:t>
            </w:r>
            <w:proofErr w:type="spellEnd"/>
            <w:r w:rsidRPr="00043161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trợ</w:t>
            </w:r>
            <w:proofErr w:type="spellEnd"/>
            <w:r w:rsidRPr="00043161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cấp</w:t>
            </w:r>
            <w:proofErr w:type="spellEnd"/>
          </w:p>
          <w:p w14:paraId="072F9597" w14:textId="17C61F2F" w:rsidR="007B651B" w:rsidRPr="00043161" w:rsidRDefault="007B651B" w:rsidP="007B651B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DOC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cho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rằng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Đơn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yêu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cầu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của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Nguyên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đơn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đã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đủ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căn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cứ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để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khởi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xướng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điều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với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r w:rsidR="00D90EC5"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31</w:t>
            </w:r>
            <w:r w:rsidRPr="00043161">
              <w:rPr>
                <w:rFonts w:eastAsiaTheme="minorHAnsi"/>
                <w:b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sz w:val="26"/>
                <w:szCs w:val="26"/>
                <w:u w:val="single"/>
                <w:lang w:eastAsia="en-US"/>
              </w:rPr>
              <w:t>c</w:t>
            </w:r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hương</w:t>
            </w:r>
            <w:proofErr w:type="spellEnd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trình</w:t>
            </w:r>
            <w:proofErr w:type="spellEnd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trợ</w:t>
            </w:r>
            <w:proofErr w:type="spellEnd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cấp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đã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được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cáo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buộc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gồm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các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nhóm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chương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trình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sau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:</w:t>
            </w:r>
          </w:p>
          <w:p w14:paraId="2E14BA17" w14:textId="77777777" w:rsidR="00D90EC5" w:rsidRPr="00043161" w:rsidRDefault="00D90EC5" w:rsidP="000621A7">
            <w:pPr>
              <w:pStyle w:val="Default"/>
              <w:spacing w:before="120" w:after="120"/>
              <w:ind w:firstLine="724"/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(1)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Nhóm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các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chương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trình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cho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vay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>;</w:t>
            </w:r>
          </w:p>
          <w:p w14:paraId="6C33C9BD" w14:textId="77777777" w:rsidR="00D90EC5" w:rsidRPr="00043161" w:rsidRDefault="00D90EC5" w:rsidP="000621A7">
            <w:pPr>
              <w:pStyle w:val="Default"/>
              <w:spacing w:before="120" w:after="120"/>
              <w:ind w:firstLine="724"/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(2)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Nhóm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các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chương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trình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ưu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đãi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thuế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thu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nhập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doanh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nghiệp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>;</w:t>
            </w:r>
          </w:p>
          <w:p w14:paraId="19CF3925" w14:textId="77777777" w:rsidR="00D90EC5" w:rsidRPr="00043161" w:rsidRDefault="00D90EC5" w:rsidP="000621A7">
            <w:pPr>
              <w:pStyle w:val="Default"/>
              <w:spacing w:before="120" w:after="120"/>
              <w:ind w:firstLine="724"/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(3)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Nhóm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các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chương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trình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ưu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đãi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thuế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nhập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khẩu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>;</w:t>
            </w:r>
          </w:p>
          <w:p w14:paraId="3DD0000E" w14:textId="77777777" w:rsidR="00D90EC5" w:rsidRPr="00043161" w:rsidRDefault="00D90EC5" w:rsidP="000621A7">
            <w:pPr>
              <w:pStyle w:val="Default"/>
              <w:spacing w:before="120" w:after="120"/>
              <w:ind w:firstLine="724"/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(4)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Chương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trình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tài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trợ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>;</w:t>
            </w:r>
          </w:p>
          <w:p w14:paraId="6F9EFB17" w14:textId="77777777" w:rsidR="00D90EC5" w:rsidRPr="00043161" w:rsidRDefault="00D90EC5" w:rsidP="000621A7">
            <w:pPr>
              <w:pStyle w:val="Default"/>
              <w:spacing w:before="120" w:after="120"/>
              <w:ind w:firstLine="724"/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(5)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Nhóm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các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chương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trình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ưu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đãi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tiền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thuê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đất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>;</w:t>
            </w:r>
          </w:p>
          <w:p w14:paraId="411391AC" w14:textId="77777777" w:rsidR="00D90EC5" w:rsidRPr="00043161" w:rsidRDefault="00D90EC5" w:rsidP="000621A7">
            <w:pPr>
              <w:pStyle w:val="Default"/>
              <w:spacing w:before="120" w:after="120"/>
              <w:ind w:firstLine="724"/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(5) Cung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cấp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tiện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ích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với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mức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giá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ưu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đãi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>;</w:t>
            </w:r>
          </w:p>
          <w:p w14:paraId="26C8581D" w14:textId="3564FB34" w:rsidR="00D90EC5" w:rsidRDefault="00D90EC5" w:rsidP="000621A7">
            <w:pPr>
              <w:pStyle w:val="Default"/>
              <w:spacing w:before="120" w:after="120"/>
              <w:ind w:firstLine="724"/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(6)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Chương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trình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hỗ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trợ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tài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chính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từ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Chính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phủ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Trung Quốc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trong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Sáng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kiến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Một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vành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đai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r w:rsidR="003661A9">
              <w:rPr>
                <w:rFonts w:eastAsia="Times New Roman"/>
                <w:color w:val="auto"/>
                <w:sz w:val="26"/>
                <w:szCs w:val="26"/>
              </w:rPr>
              <w:t>-</w:t>
            </w:r>
            <w:r w:rsidR="003661A9"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Một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con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đường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và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Nhập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khẩu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nguyên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liệu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đầu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vào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từ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Trung Quốc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với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giá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thấp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hơn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giá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trị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thông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rFonts w:eastAsia="Times New Roman"/>
                <w:color w:val="auto"/>
                <w:sz w:val="26"/>
                <w:szCs w:val="26"/>
              </w:rPr>
              <w:t>thường</w:t>
            </w:r>
            <w:proofErr w:type="spellEnd"/>
            <w:r w:rsidRPr="00043161">
              <w:rPr>
                <w:rFonts w:eastAsia="Times New Roman"/>
                <w:color w:val="auto"/>
                <w:sz w:val="26"/>
                <w:szCs w:val="26"/>
              </w:rPr>
              <w:t xml:space="preserve">. </w:t>
            </w:r>
          </w:p>
          <w:p w14:paraId="6B79DE82" w14:textId="77777777" w:rsidR="00356AA4" w:rsidRDefault="006359DE" w:rsidP="00356AA4">
            <w:pPr>
              <w:tabs>
                <w:tab w:val="left" w:pos="990"/>
              </w:tabs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i/>
                <w:iCs/>
                <w:sz w:val="26"/>
                <w:szCs w:val="26"/>
                <w:lang w:eastAsia="en-US"/>
              </w:rPr>
            </w:pPr>
            <w:r w:rsidRPr="000621A7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 xml:space="preserve">1.3. </w:t>
            </w:r>
            <w:r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>Các</w:t>
            </w:r>
            <w:r w:rsidRPr="000621A7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621A7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>mốc</w:t>
            </w:r>
            <w:proofErr w:type="spellEnd"/>
            <w:r w:rsidRPr="000621A7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621A7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>thời</w:t>
            </w:r>
            <w:proofErr w:type="spellEnd"/>
            <w:r w:rsidRPr="000621A7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621A7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>gian</w:t>
            </w:r>
            <w:proofErr w:type="spellEnd"/>
            <w:r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>chính</w:t>
            </w:r>
            <w:proofErr w:type="spellEnd"/>
            <w:r w:rsidRPr="000621A7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 xml:space="preserve"> </w:t>
            </w:r>
            <w:r w:rsidR="00356AA4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>(</w:t>
            </w:r>
            <w:proofErr w:type="spellStart"/>
            <w:r w:rsidR="00356AA4" w:rsidRPr="000621A7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>có</w:t>
            </w:r>
            <w:proofErr w:type="spellEnd"/>
            <w:r w:rsidR="00356AA4" w:rsidRPr="000621A7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56AA4" w:rsidRPr="000621A7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>thể</w:t>
            </w:r>
            <w:proofErr w:type="spellEnd"/>
            <w:r w:rsidR="00356AA4" w:rsidRPr="000621A7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56AA4" w:rsidRPr="000621A7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>được</w:t>
            </w:r>
            <w:proofErr w:type="spellEnd"/>
            <w:r w:rsidR="00356AA4" w:rsidRPr="000621A7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56AA4" w:rsidRPr="000621A7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>gia</w:t>
            </w:r>
            <w:proofErr w:type="spellEnd"/>
            <w:r w:rsidR="00356AA4" w:rsidRPr="000621A7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56AA4" w:rsidRPr="000621A7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>hạn</w:t>
            </w:r>
            <w:proofErr w:type="spellEnd"/>
            <w:r w:rsidR="00356AA4" w:rsidRPr="000621A7">
              <w:rPr>
                <w:rFonts w:eastAsiaTheme="minorHAnsi"/>
                <w:b/>
                <w:i/>
                <w:iCs/>
                <w:sz w:val="26"/>
                <w:szCs w:val="26"/>
                <w:lang w:eastAsia="en-US"/>
              </w:rPr>
              <w:t>)</w:t>
            </w:r>
          </w:p>
          <w:tbl>
            <w:tblPr>
              <w:tblStyle w:val="ListTable2"/>
              <w:tblW w:w="5000" w:type="pct"/>
              <w:tblLook w:val="04A0" w:firstRow="1" w:lastRow="0" w:firstColumn="1" w:lastColumn="0" w:noHBand="0" w:noVBand="1"/>
            </w:tblPr>
            <w:tblGrid>
              <w:gridCol w:w="4060"/>
              <w:gridCol w:w="2477"/>
              <w:gridCol w:w="3179"/>
            </w:tblGrid>
            <w:tr w:rsidR="000621A7" w:rsidRPr="00043161" w14:paraId="5C763156" w14:textId="77777777" w:rsidTr="000621A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7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89" w:type="pct"/>
                  <w:vAlign w:val="center"/>
                </w:tcPr>
                <w:p w14:paraId="418C05C5" w14:textId="792D96CC" w:rsidR="006359DE" w:rsidRPr="00043161" w:rsidRDefault="006359DE" w:rsidP="006359DE">
                  <w:pPr>
                    <w:spacing w:after="240" w:line="276" w:lineRule="auto"/>
                    <w:rPr>
                      <w:sz w:val="26"/>
                      <w:szCs w:val="26"/>
                    </w:rPr>
                  </w:pPr>
                  <w:proofErr w:type="spellStart"/>
                  <w:r w:rsidRPr="00043161">
                    <w:rPr>
                      <w:sz w:val="26"/>
                      <w:szCs w:val="26"/>
                    </w:rPr>
                    <w:t>Mốc</w:t>
                  </w:r>
                  <w:proofErr w:type="spellEnd"/>
                  <w:r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thời</w:t>
                  </w:r>
                  <w:proofErr w:type="spellEnd"/>
                  <w:r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gian</w:t>
                  </w:r>
                  <w:proofErr w:type="spellEnd"/>
                  <w:r w:rsidR="0016549B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16549B">
                    <w:rPr>
                      <w:sz w:val="26"/>
                      <w:szCs w:val="26"/>
                    </w:rPr>
                    <w:t>dự</w:t>
                  </w:r>
                  <w:proofErr w:type="spellEnd"/>
                  <w:r w:rsidR="0016549B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16549B">
                    <w:rPr>
                      <w:sz w:val="26"/>
                      <w:szCs w:val="26"/>
                    </w:rPr>
                    <w:t>kiến</w:t>
                  </w:r>
                  <w:proofErr w:type="spellEnd"/>
                </w:p>
              </w:tc>
              <w:tc>
                <w:tcPr>
                  <w:tcW w:w="1274" w:type="pct"/>
                  <w:vAlign w:val="center"/>
                </w:tcPr>
                <w:p w14:paraId="33C62385" w14:textId="7D65969D" w:rsidR="006359DE" w:rsidRPr="00043161" w:rsidRDefault="000621A7" w:rsidP="006359DE">
                  <w:pPr>
                    <w:spacing w:after="240" w:line="276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</w:t>
                  </w:r>
                  <w:proofErr w:type="spellStart"/>
                  <w:r w:rsidR="006359DE" w:rsidRPr="00043161">
                    <w:rPr>
                      <w:sz w:val="26"/>
                      <w:szCs w:val="26"/>
                    </w:rPr>
                    <w:t>Vụ</w:t>
                  </w:r>
                  <w:proofErr w:type="spellEnd"/>
                  <w:r w:rsidR="006359DE"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6359DE" w:rsidRPr="00043161">
                    <w:rPr>
                      <w:sz w:val="26"/>
                      <w:szCs w:val="26"/>
                    </w:rPr>
                    <w:t>việc</w:t>
                  </w:r>
                  <w:proofErr w:type="spellEnd"/>
                  <w:r w:rsidR="006359DE" w:rsidRPr="00043161">
                    <w:rPr>
                      <w:sz w:val="26"/>
                      <w:szCs w:val="26"/>
                    </w:rPr>
                    <w:t xml:space="preserve"> CBPG</w:t>
                  </w:r>
                </w:p>
              </w:tc>
              <w:tc>
                <w:tcPr>
                  <w:tcW w:w="1636" w:type="pct"/>
                  <w:vAlign w:val="center"/>
                </w:tcPr>
                <w:p w14:paraId="534D6DB2" w14:textId="4EF2F0AC" w:rsidR="006359DE" w:rsidRPr="00043161" w:rsidRDefault="000621A7" w:rsidP="000621A7">
                  <w:pPr>
                    <w:spacing w:after="240" w:line="276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</w:t>
                  </w:r>
                  <w:proofErr w:type="spellStart"/>
                  <w:r w:rsidR="006359DE" w:rsidRPr="00043161">
                    <w:rPr>
                      <w:sz w:val="26"/>
                      <w:szCs w:val="26"/>
                    </w:rPr>
                    <w:t>Vụ</w:t>
                  </w:r>
                  <w:proofErr w:type="spellEnd"/>
                  <w:r w:rsidR="006359DE"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6359DE" w:rsidRPr="00043161">
                    <w:rPr>
                      <w:sz w:val="26"/>
                      <w:szCs w:val="26"/>
                    </w:rPr>
                    <w:t>việc</w:t>
                  </w:r>
                  <w:proofErr w:type="spellEnd"/>
                  <w:r w:rsidR="006359DE" w:rsidRPr="00043161">
                    <w:rPr>
                      <w:sz w:val="26"/>
                      <w:szCs w:val="26"/>
                    </w:rPr>
                    <w:t xml:space="preserve"> CTC</w:t>
                  </w:r>
                </w:p>
              </w:tc>
            </w:tr>
            <w:tr w:rsidR="000621A7" w:rsidRPr="00043161" w14:paraId="159927D7" w14:textId="77777777" w:rsidTr="000621A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89" w:type="pct"/>
                  <w:vAlign w:val="center"/>
                </w:tcPr>
                <w:p w14:paraId="3D4F8AC2" w14:textId="77777777" w:rsidR="006359DE" w:rsidRPr="00043161" w:rsidRDefault="006359DE" w:rsidP="006359DE">
                  <w:pPr>
                    <w:spacing w:after="240" w:line="276" w:lineRule="auto"/>
                    <w:rPr>
                      <w:sz w:val="26"/>
                      <w:szCs w:val="26"/>
                    </w:rPr>
                  </w:pPr>
                  <w:r w:rsidRPr="00043161">
                    <w:rPr>
                      <w:sz w:val="26"/>
                      <w:szCs w:val="26"/>
                    </w:rPr>
                    <w:t xml:space="preserve">DOC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khởi</w:t>
                  </w:r>
                  <w:proofErr w:type="spellEnd"/>
                  <w:r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xướng</w:t>
                  </w:r>
                  <w:proofErr w:type="spellEnd"/>
                  <w:r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điều</w:t>
                  </w:r>
                  <w:proofErr w:type="spellEnd"/>
                  <w:r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tra</w:t>
                  </w:r>
                  <w:proofErr w:type="spellEnd"/>
                </w:p>
              </w:tc>
              <w:tc>
                <w:tcPr>
                  <w:tcW w:w="1274" w:type="pct"/>
                  <w:vAlign w:val="center"/>
                </w:tcPr>
                <w:p w14:paraId="2F8AF823" w14:textId="77777777" w:rsidR="006359DE" w:rsidRPr="00043161" w:rsidRDefault="006359DE" w:rsidP="006359DE">
                  <w:pPr>
                    <w:spacing w:after="240" w:line="276" w:lineRule="auto"/>
                    <w:ind w:firstLine="709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Cs/>
                      <w:sz w:val="26"/>
                      <w:szCs w:val="26"/>
                    </w:rPr>
                  </w:pPr>
                  <w:r w:rsidRPr="00043161">
                    <w:rPr>
                      <w:bCs/>
                      <w:sz w:val="26"/>
                      <w:szCs w:val="26"/>
                    </w:rPr>
                    <w:t>14/5/2024</w:t>
                  </w:r>
                </w:p>
              </w:tc>
              <w:tc>
                <w:tcPr>
                  <w:tcW w:w="1636" w:type="pct"/>
                  <w:vAlign w:val="center"/>
                </w:tcPr>
                <w:p w14:paraId="015E3162" w14:textId="77777777" w:rsidR="006359DE" w:rsidRPr="00043161" w:rsidRDefault="006359DE" w:rsidP="006359DE">
                  <w:pPr>
                    <w:spacing w:after="240" w:line="276" w:lineRule="auto"/>
                    <w:ind w:firstLine="709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Cs/>
                      <w:sz w:val="26"/>
                      <w:szCs w:val="26"/>
                    </w:rPr>
                  </w:pPr>
                  <w:r w:rsidRPr="00043161">
                    <w:rPr>
                      <w:bCs/>
                      <w:sz w:val="26"/>
                      <w:szCs w:val="26"/>
                    </w:rPr>
                    <w:t>14/5/2024</w:t>
                  </w:r>
                </w:p>
              </w:tc>
            </w:tr>
            <w:tr w:rsidR="000621A7" w:rsidRPr="00043161" w14:paraId="389CEF44" w14:textId="77777777" w:rsidTr="000621A7">
              <w:trPr>
                <w:trHeight w:val="7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89" w:type="pct"/>
                  <w:vAlign w:val="center"/>
                </w:tcPr>
                <w:p w14:paraId="3B640F00" w14:textId="77777777" w:rsidR="006359DE" w:rsidRPr="00043161" w:rsidRDefault="006359DE" w:rsidP="006359DE">
                  <w:pPr>
                    <w:spacing w:after="240" w:line="276" w:lineRule="auto"/>
                    <w:rPr>
                      <w:sz w:val="26"/>
                      <w:szCs w:val="26"/>
                    </w:rPr>
                  </w:pPr>
                  <w:r w:rsidRPr="00043161">
                    <w:rPr>
                      <w:sz w:val="26"/>
                      <w:szCs w:val="26"/>
                    </w:rPr>
                    <w:t xml:space="preserve">DOC ban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hành</w:t>
                  </w:r>
                  <w:proofErr w:type="spellEnd"/>
                  <w:r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Kết</w:t>
                  </w:r>
                  <w:proofErr w:type="spellEnd"/>
                  <w:r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luận</w:t>
                  </w:r>
                  <w:proofErr w:type="spellEnd"/>
                  <w:r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sơ</w:t>
                  </w:r>
                  <w:proofErr w:type="spellEnd"/>
                  <w:r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bộ</w:t>
                  </w:r>
                  <w:proofErr w:type="spellEnd"/>
                </w:p>
              </w:tc>
              <w:tc>
                <w:tcPr>
                  <w:tcW w:w="1274" w:type="pct"/>
                  <w:vAlign w:val="center"/>
                </w:tcPr>
                <w:p w14:paraId="08A05768" w14:textId="77777777" w:rsidR="006359DE" w:rsidRPr="00043161" w:rsidRDefault="006359DE" w:rsidP="006359DE">
                  <w:pPr>
                    <w:spacing w:after="240" w:line="276" w:lineRule="auto"/>
                    <w:ind w:firstLine="709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Cs/>
                      <w:sz w:val="26"/>
                      <w:szCs w:val="26"/>
                    </w:rPr>
                  </w:pPr>
                  <w:r w:rsidRPr="00043161">
                    <w:rPr>
                      <w:bCs/>
                      <w:sz w:val="26"/>
                      <w:szCs w:val="26"/>
                    </w:rPr>
                    <w:t>01/10/2024</w:t>
                  </w:r>
                </w:p>
              </w:tc>
              <w:tc>
                <w:tcPr>
                  <w:tcW w:w="1636" w:type="pct"/>
                  <w:vAlign w:val="center"/>
                </w:tcPr>
                <w:p w14:paraId="0A45F38C" w14:textId="77777777" w:rsidR="006359DE" w:rsidRPr="00043161" w:rsidRDefault="006359DE" w:rsidP="006359DE">
                  <w:pPr>
                    <w:spacing w:after="240" w:line="276" w:lineRule="auto"/>
                    <w:ind w:firstLine="709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Cs/>
                      <w:sz w:val="26"/>
                      <w:szCs w:val="26"/>
                    </w:rPr>
                  </w:pPr>
                  <w:r w:rsidRPr="00043161">
                    <w:rPr>
                      <w:bCs/>
                      <w:sz w:val="26"/>
                      <w:szCs w:val="26"/>
                    </w:rPr>
                    <w:t>18/7/2024</w:t>
                  </w:r>
                </w:p>
              </w:tc>
            </w:tr>
            <w:tr w:rsidR="000621A7" w:rsidRPr="00043161" w14:paraId="4C0A0F18" w14:textId="77777777" w:rsidTr="000621A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89" w:type="pct"/>
                  <w:vAlign w:val="center"/>
                </w:tcPr>
                <w:p w14:paraId="7793E063" w14:textId="77777777" w:rsidR="006359DE" w:rsidRPr="00043161" w:rsidRDefault="006359DE" w:rsidP="006359DE">
                  <w:pPr>
                    <w:spacing w:after="240" w:line="276" w:lineRule="auto"/>
                    <w:rPr>
                      <w:sz w:val="26"/>
                      <w:szCs w:val="26"/>
                    </w:rPr>
                  </w:pPr>
                  <w:r w:rsidRPr="00043161">
                    <w:rPr>
                      <w:sz w:val="26"/>
                      <w:szCs w:val="26"/>
                    </w:rPr>
                    <w:t xml:space="preserve">DOC ban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hành</w:t>
                  </w:r>
                  <w:proofErr w:type="spellEnd"/>
                  <w:r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Kết</w:t>
                  </w:r>
                  <w:proofErr w:type="spellEnd"/>
                  <w:r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luận</w:t>
                  </w:r>
                  <w:proofErr w:type="spellEnd"/>
                  <w:r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cuối</w:t>
                  </w:r>
                  <w:proofErr w:type="spellEnd"/>
                  <w:r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cùng</w:t>
                  </w:r>
                  <w:proofErr w:type="spellEnd"/>
                </w:p>
              </w:tc>
              <w:tc>
                <w:tcPr>
                  <w:tcW w:w="1274" w:type="pct"/>
                  <w:vAlign w:val="center"/>
                </w:tcPr>
                <w:p w14:paraId="7F142A40" w14:textId="77777777" w:rsidR="006359DE" w:rsidRPr="00043161" w:rsidRDefault="006359DE" w:rsidP="006359DE">
                  <w:pPr>
                    <w:spacing w:after="240" w:line="276" w:lineRule="auto"/>
                    <w:ind w:firstLine="709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Cs/>
                      <w:sz w:val="26"/>
                      <w:szCs w:val="26"/>
                    </w:rPr>
                  </w:pPr>
                  <w:r w:rsidRPr="00043161">
                    <w:rPr>
                      <w:bCs/>
                      <w:sz w:val="26"/>
                      <w:szCs w:val="26"/>
                    </w:rPr>
                    <w:t>16/12/2024</w:t>
                  </w:r>
                </w:p>
              </w:tc>
              <w:tc>
                <w:tcPr>
                  <w:tcW w:w="1636" w:type="pct"/>
                  <w:vAlign w:val="center"/>
                </w:tcPr>
                <w:p w14:paraId="43A5D5DB" w14:textId="77777777" w:rsidR="006359DE" w:rsidRPr="00043161" w:rsidRDefault="006359DE" w:rsidP="006359DE">
                  <w:pPr>
                    <w:spacing w:after="240" w:line="276" w:lineRule="auto"/>
                    <w:ind w:firstLine="709"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Cs/>
                      <w:sz w:val="26"/>
                      <w:szCs w:val="26"/>
                    </w:rPr>
                  </w:pPr>
                  <w:r w:rsidRPr="00043161">
                    <w:rPr>
                      <w:bCs/>
                      <w:sz w:val="26"/>
                      <w:szCs w:val="26"/>
                    </w:rPr>
                    <w:t>01/10/2024</w:t>
                  </w:r>
                </w:p>
              </w:tc>
            </w:tr>
            <w:tr w:rsidR="000621A7" w:rsidRPr="00043161" w14:paraId="2DE5C514" w14:textId="77777777" w:rsidTr="000621A7">
              <w:trPr>
                <w:trHeight w:val="7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89" w:type="pct"/>
                  <w:vAlign w:val="center"/>
                </w:tcPr>
                <w:p w14:paraId="2579C011" w14:textId="77777777" w:rsidR="006359DE" w:rsidRPr="00043161" w:rsidRDefault="006359DE" w:rsidP="006359DE">
                  <w:pPr>
                    <w:spacing w:after="240" w:line="276" w:lineRule="auto"/>
                    <w:rPr>
                      <w:sz w:val="26"/>
                      <w:szCs w:val="26"/>
                    </w:rPr>
                  </w:pPr>
                  <w:r w:rsidRPr="00043161">
                    <w:rPr>
                      <w:sz w:val="26"/>
                      <w:szCs w:val="26"/>
                    </w:rPr>
                    <w:t xml:space="preserve">DOC ban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hành</w:t>
                  </w:r>
                  <w:proofErr w:type="spellEnd"/>
                  <w:r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biện</w:t>
                  </w:r>
                  <w:proofErr w:type="spellEnd"/>
                  <w:r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pháp</w:t>
                  </w:r>
                  <w:proofErr w:type="spellEnd"/>
                  <w:r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áp</w:t>
                  </w:r>
                  <w:proofErr w:type="spellEnd"/>
                  <w:r w:rsidRPr="00043161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043161">
                    <w:rPr>
                      <w:sz w:val="26"/>
                      <w:szCs w:val="26"/>
                    </w:rPr>
                    <w:t>dụng</w:t>
                  </w:r>
                  <w:proofErr w:type="spellEnd"/>
                </w:p>
              </w:tc>
              <w:tc>
                <w:tcPr>
                  <w:tcW w:w="1274" w:type="pct"/>
                  <w:vAlign w:val="center"/>
                </w:tcPr>
                <w:p w14:paraId="4ACA23EB" w14:textId="77777777" w:rsidR="006359DE" w:rsidRPr="00043161" w:rsidRDefault="006359DE" w:rsidP="006359DE">
                  <w:pPr>
                    <w:spacing w:after="240" w:line="276" w:lineRule="auto"/>
                    <w:ind w:firstLine="709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Cs/>
                      <w:sz w:val="26"/>
                      <w:szCs w:val="26"/>
                    </w:rPr>
                  </w:pPr>
                  <w:r w:rsidRPr="00043161">
                    <w:rPr>
                      <w:bCs/>
                      <w:sz w:val="26"/>
                      <w:szCs w:val="26"/>
                    </w:rPr>
                    <w:t>06/02/2025</w:t>
                  </w:r>
                </w:p>
              </w:tc>
              <w:tc>
                <w:tcPr>
                  <w:tcW w:w="1636" w:type="pct"/>
                  <w:vAlign w:val="center"/>
                </w:tcPr>
                <w:p w14:paraId="47D0BCBF" w14:textId="77777777" w:rsidR="006359DE" w:rsidRPr="00043161" w:rsidRDefault="006359DE" w:rsidP="006359DE">
                  <w:pPr>
                    <w:spacing w:after="240" w:line="276" w:lineRule="auto"/>
                    <w:ind w:firstLine="709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Cs/>
                      <w:sz w:val="26"/>
                      <w:szCs w:val="26"/>
                    </w:rPr>
                  </w:pPr>
                  <w:r w:rsidRPr="00043161">
                    <w:rPr>
                      <w:bCs/>
                      <w:sz w:val="26"/>
                      <w:szCs w:val="26"/>
                    </w:rPr>
                    <w:t>22/11/2024</w:t>
                  </w:r>
                </w:p>
              </w:tc>
            </w:tr>
          </w:tbl>
          <w:p w14:paraId="55C332F5" w14:textId="794E46DD" w:rsidR="007B651B" w:rsidRPr="00043161" w:rsidRDefault="007B651B" w:rsidP="007B651B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2. </w:t>
            </w:r>
            <w:proofErr w:type="spellStart"/>
            <w:r w:rsidR="006359DE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Cập</w:t>
            </w:r>
            <w:proofErr w:type="spellEnd"/>
            <w:r w:rsidR="006359DE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nhật</w:t>
            </w:r>
            <w:proofErr w:type="spellEnd"/>
            <w:r w:rsidR="006359DE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một</w:t>
            </w:r>
            <w:proofErr w:type="spellEnd"/>
            <w:r w:rsidR="006359DE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số</w:t>
            </w:r>
            <w:proofErr w:type="spellEnd"/>
            <w:r w:rsidR="006359DE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thời</w:t>
            </w:r>
            <w:proofErr w:type="spellEnd"/>
            <w:r w:rsidR="006359DE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hạn</w:t>
            </w:r>
            <w:proofErr w:type="spellEnd"/>
            <w:r w:rsidRPr="0004316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điều</w:t>
            </w:r>
            <w:proofErr w:type="spellEnd"/>
            <w:r w:rsidRPr="0004316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tra</w:t>
            </w:r>
            <w:proofErr w:type="spellEnd"/>
          </w:p>
          <w:p w14:paraId="1469C04A" w14:textId="20C1CBEE" w:rsidR="00C50CB9" w:rsidRDefault="007B651B" w:rsidP="00C50CB9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- </w:t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DOC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đã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ban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hành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02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Bản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câu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hỏi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về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Lượng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và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Giá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trị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trong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vụ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việc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CBPG</w:t>
            </w:r>
            <w:r w:rsidR="003661A9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(</w:t>
            </w:r>
            <w:proofErr w:type="spellStart"/>
            <w:r w:rsidR="003661A9">
              <w:rPr>
                <w:rFonts w:eastAsiaTheme="minorHAnsi"/>
                <w:bCs/>
                <w:sz w:val="26"/>
                <w:szCs w:val="26"/>
                <w:lang w:eastAsia="en-US"/>
              </w:rPr>
              <w:t>t</w:t>
            </w:r>
            <w:r w:rsidR="003661A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hời</w:t>
            </w:r>
            <w:proofErr w:type="spellEnd"/>
            <w:r w:rsidR="003661A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hạn</w:t>
            </w:r>
            <w:proofErr w:type="spellEnd"/>
            <w:r w:rsidR="003661A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trả</w:t>
            </w:r>
            <w:proofErr w:type="spellEnd"/>
            <w:r w:rsidR="003661A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lời</w:t>
            </w:r>
            <w:proofErr w:type="spellEnd"/>
            <w:r w:rsidR="003661A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được</w:t>
            </w:r>
            <w:proofErr w:type="spellEnd"/>
            <w:r w:rsidR="003661A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gia</w:t>
            </w:r>
            <w:proofErr w:type="spellEnd"/>
            <w:r w:rsidR="003661A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hạn</w:t>
            </w:r>
            <w:proofErr w:type="spellEnd"/>
            <w:r w:rsidR="003661A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đến</w:t>
            </w:r>
            <w:proofErr w:type="spellEnd"/>
            <w:r w:rsidR="003661A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 w:rsidRPr="00043161">
              <w:rPr>
                <w:rFonts w:eastAsiaTheme="minorHAnsi"/>
                <w:b/>
                <w:sz w:val="26"/>
                <w:szCs w:val="26"/>
                <w:u w:val="single"/>
                <w:lang w:eastAsia="en-US"/>
              </w:rPr>
              <w:t>trước</w:t>
            </w:r>
            <w:proofErr w:type="spellEnd"/>
            <w:r w:rsidR="003661A9" w:rsidRPr="00043161">
              <w:rPr>
                <w:rFonts w:eastAsiaTheme="minorHAnsi"/>
                <w:b/>
                <w:sz w:val="26"/>
                <w:szCs w:val="26"/>
                <w:u w:val="single"/>
                <w:lang w:eastAsia="en-US"/>
              </w:rPr>
              <w:t xml:space="preserve"> 17 </w:t>
            </w:r>
            <w:proofErr w:type="spellStart"/>
            <w:r w:rsidR="003661A9" w:rsidRPr="00043161">
              <w:rPr>
                <w:rFonts w:eastAsiaTheme="minorHAnsi"/>
                <w:b/>
                <w:sz w:val="26"/>
                <w:szCs w:val="26"/>
                <w:u w:val="single"/>
                <w:lang w:eastAsia="en-US"/>
              </w:rPr>
              <w:t>giờ</w:t>
            </w:r>
            <w:proofErr w:type="spellEnd"/>
            <w:r w:rsidR="003661A9">
              <w:rPr>
                <w:rFonts w:eastAsiaTheme="minorHAnsi"/>
                <w:b/>
                <w:sz w:val="26"/>
                <w:szCs w:val="26"/>
                <w:u w:val="single"/>
                <w:lang w:eastAsia="en-US"/>
              </w:rPr>
              <w:t xml:space="preserve"> Hoa </w:t>
            </w:r>
            <w:proofErr w:type="spellStart"/>
            <w:r w:rsidR="003661A9">
              <w:rPr>
                <w:rFonts w:eastAsiaTheme="minorHAnsi"/>
                <w:b/>
                <w:sz w:val="26"/>
                <w:szCs w:val="26"/>
                <w:u w:val="single"/>
                <w:lang w:eastAsia="en-US"/>
              </w:rPr>
              <w:t>Kỳ</w:t>
            </w:r>
            <w:proofErr w:type="spellEnd"/>
            <w:r w:rsidR="003661A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661A9"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ngày</w:t>
            </w:r>
            <w:proofErr w:type="spellEnd"/>
            <w:r w:rsidR="003661A9"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06 </w:t>
            </w:r>
            <w:proofErr w:type="spellStart"/>
            <w:r w:rsidR="003661A9"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tháng</w:t>
            </w:r>
            <w:proofErr w:type="spellEnd"/>
            <w:r w:rsidR="003661A9"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6 </w:t>
            </w:r>
            <w:proofErr w:type="spellStart"/>
            <w:r w:rsidR="003661A9"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năm</w:t>
            </w:r>
            <w:proofErr w:type="spellEnd"/>
            <w:r w:rsidR="003661A9"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2024</w:t>
            </w:r>
            <w:r w:rsidR="003661A9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)</w:t>
            </w:r>
            <w:r w:rsidR="003661A9" w:rsidRPr="000621A7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B2371F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và</w:t>
            </w:r>
            <w:proofErr w:type="spellEnd"/>
            <w:r w:rsidR="00B2371F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C50CB9">
              <w:rPr>
                <w:rFonts w:eastAsiaTheme="minorHAnsi"/>
                <w:bCs/>
                <w:sz w:val="26"/>
                <w:szCs w:val="26"/>
                <w:lang w:eastAsia="en-US"/>
              </w:rPr>
              <w:t>vụ</w:t>
            </w:r>
            <w:proofErr w:type="spellEnd"/>
            <w:r w:rsidR="00C50CB9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C50CB9">
              <w:rPr>
                <w:rFonts w:eastAsiaTheme="minorHAnsi"/>
                <w:bCs/>
                <w:sz w:val="26"/>
                <w:szCs w:val="26"/>
                <w:lang w:eastAsia="en-US"/>
              </w:rPr>
              <w:t>việc</w:t>
            </w:r>
            <w:proofErr w:type="spellEnd"/>
            <w:r w:rsidR="00C50CB9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CTC </w:t>
            </w:r>
            <w:r w:rsidR="00C50CB9">
              <w:rPr>
                <w:rFonts w:eastAsiaTheme="minorHAnsi"/>
                <w:bCs/>
                <w:sz w:val="26"/>
                <w:szCs w:val="26"/>
                <w:lang w:eastAsia="en-US"/>
              </w:rPr>
              <w:t>(</w:t>
            </w:r>
            <w:proofErr w:type="spellStart"/>
            <w:r w:rsidR="00C50CB9">
              <w:rPr>
                <w:rFonts w:eastAsiaTheme="minorHAnsi"/>
                <w:bCs/>
                <w:sz w:val="26"/>
                <w:szCs w:val="26"/>
                <w:lang w:eastAsia="en-US"/>
              </w:rPr>
              <w:t>t</w:t>
            </w:r>
            <w:r w:rsidR="00C50CB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hời</w:t>
            </w:r>
            <w:proofErr w:type="spellEnd"/>
            <w:r w:rsidR="00C50CB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C50CB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hạn</w:t>
            </w:r>
            <w:proofErr w:type="spellEnd"/>
            <w:r w:rsidR="00C50CB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C50CB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trả</w:t>
            </w:r>
            <w:proofErr w:type="spellEnd"/>
            <w:r w:rsidR="00C50CB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C50CB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lời</w:t>
            </w:r>
            <w:proofErr w:type="spellEnd"/>
            <w:r w:rsidR="00C50CB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C50CB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đến</w:t>
            </w:r>
            <w:proofErr w:type="spellEnd"/>
            <w:r w:rsidR="00C50CB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C50CB9" w:rsidRPr="00043161">
              <w:rPr>
                <w:rFonts w:eastAsiaTheme="minorHAnsi"/>
                <w:b/>
                <w:sz w:val="26"/>
                <w:szCs w:val="26"/>
                <w:u w:val="single"/>
                <w:lang w:eastAsia="en-US"/>
              </w:rPr>
              <w:t>trước</w:t>
            </w:r>
            <w:proofErr w:type="spellEnd"/>
            <w:r w:rsidR="00C50CB9" w:rsidRPr="00043161">
              <w:rPr>
                <w:rFonts w:eastAsiaTheme="minorHAnsi"/>
                <w:b/>
                <w:sz w:val="26"/>
                <w:szCs w:val="26"/>
                <w:u w:val="single"/>
                <w:lang w:eastAsia="en-US"/>
              </w:rPr>
              <w:t xml:space="preserve"> 17 </w:t>
            </w:r>
            <w:proofErr w:type="spellStart"/>
            <w:r w:rsidR="00C50CB9" w:rsidRPr="00043161">
              <w:rPr>
                <w:rFonts w:eastAsiaTheme="minorHAnsi"/>
                <w:b/>
                <w:sz w:val="26"/>
                <w:szCs w:val="26"/>
                <w:u w:val="single"/>
                <w:lang w:eastAsia="en-US"/>
              </w:rPr>
              <w:t>giờ</w:t>
            </w:r>
            <w:proofErr w:type="spellEnd"/>
            <w:r w:rsidR="00C50CB9">
              <w:rPr>
                <w:rFonts w:eastAsiaTheme="minorHAnsi"/>
                <w:b/>
                <w:sz w:val="26"/>
                <w:szCs w:val="26"/>
                <w:u w:val="single"/>
                <w:lang w:eastAsia="en-US"/>
              </w:rPr>
              <w:t xml:space="preserve"> Hoa </w:t>
            </w:r>
            <w:proofErr w:type="spellStart"/>
            <w:r w:rsidR="00C50CB9">
              <w:rPr>
                <w:rFonts w:eastAsiaTheme="minorHAnsi"/>
                <w:b/>
                <w:sz w:val="26"/>
                <w:szCs w:val="26"/>
                <w:u w:val="single"/>
                <w:lang w:eastAsia="en-US"/>
              </w:rPr>
              <w:t>Kỳ</w:t>
            </w:r>
            <w:proofErr w:type="spellEnd"/>
            <w:r w:rsidR="00C50CB9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C50CB9"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ngày</w:t>
            </w:r>
            <w:proofErr w:type="spellEnd"/>
            <w:r w:rsidR="00C50CB9"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0</w:t>
            </w:r>
            <w:r w:rsidR="00C50CB9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4</w:t>
            </w:r>
            <w:r w:rsidR="00C50CB9"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="00C50CB9"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tháng</w:t>
            </w:r>
            <w:proofErr w:type="spellEnd"/>
            <w:r w:rsidR="00C50CB9"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6 </w:t>
            </w:r>
            <w:proofErr w:type="spellStart"/>
            <w:r w:rsidR="00C50CB9"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năm</w:t>
            </w:r>
            <w:proofErr w:type="spellEnd"/>
            <w:r w:rsidR="00C50CB9"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2024</w:t>
            </w:r>
            <w:r w:rsidR="00C50CB9">
              <w:rPr>
                <w:rFonts w:eastAsiaTheme="minorHAnsi"/>
                <w:bCs/>
                <w:sz w:val="26"/>
                <w:szCs w:val="26"/>
                <w:lang w:eastAsia="en-US"/>
              </w:rPr>
              <w:t>)</w:t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Trên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cơ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sở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thông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tin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trả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lời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kết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hợp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với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số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liệu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của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Hải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quan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Hoa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Kỳ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, DOC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sẽ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lựa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chọn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bị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đơn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bắt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buộc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của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C50CB9">
              <w:rPr>
                <w:rFonts w:eastAsiaTheme="minorHAnsi"/>
                <w:bCs/>
                <w:sz w:val="26"/>
                <w:szCs w:val="26"/>
                <w:lang w:eastAsia="en-US"/>
              </w:rPr>
              <w:t>cho</w:t>
            </w:r>
            <w:proofErr w:type="spellEnd"/>
            <w:r w:rsidR="00C50CB9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C50CB9">
              <w:rPr>
                <w:rFonts w:eastAsiaTheme="minorHAnsi"/>
                <w:bCs/>
                <w:sz w:val="26"/>
                <w:szCs w:val="26"/>
                <w:lang w:eastAsia="en-US"/>
              </w:rPr>
              <w:t>mỗi</w:t>
            </w:r>
            <w:proofErr w:type="spellEnd"/>
            <w:r w:rsidR="00C50CB9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vụ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việc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(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thông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thường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từ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2-3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doanh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nghiệp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).</w:t>
            </w:r>
            <w:r w:rsidRPr="00043161">
              <w:rPr>
                <w:rFonts w:eastAsiaTheme="minorHAnsi"/>
                <w:bCs/>
                <w:i/>
                <w:iCs/>
                <w:sz w:val="26"/>
                <w:szCs w:val="26"/>
                <w:lang w:eastAsia="en-US"/>
              </w:rPr>
              <w:t xml:space="preserve"> </w:t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Các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bị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đơn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này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sẽ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tiếp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tục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tham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gia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trả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lời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các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bản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câu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hỏi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tiếp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theo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trong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vụ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việc</w:t>
            </w:r>
            <w:proofErr w:type="spellEnd"/>
            <w:r w:rsidR="0030763D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0763D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và</w:t>
            </w:r>
            <w:proofErr w:type="spellEnd"/>
            <w:r w:rsidR="0030763D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0763D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tham</w:t>
            </w:r>
            <w:proofErr w:type="spellEnd"/>
            <w:r w:rsidR="0030763D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0763D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gia</w:t>
            </w:r>
            <w:proofErr w:type="spellEnd"/>
            <w:r w:rsidR="0030763D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0763D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toàn</w:t>
            </w:r>
            <w:proofErr w:type="spellEnd"/>
            <w:r w:rsidR="0030763D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0763D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bộ</w:t>
            </w:r>
            <w:proofErr w:type="spellEnd"/>
            <w:r w:rsidR="0030763D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0763D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quá</w:t>
            </w:r>
            <w:proofErr w:type="spellEnd"/>
            <w:r w:rsidR="0030763D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0763D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trình</w:t>
            </w:r>
            <w:proofErr w:type="spellEnd"/>
            <w:r w:rsidR="0030763D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0763D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vụ</w:t>
            </w:r>
            <w:proofErr w:type="spellEnd"/>
            <w:r w:rsidR="0030763D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0763D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việc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và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được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hưởng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mức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thuế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riêng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. </w:t>
            </w:r>
          </w:p>
          <w:p w14:paraId="3C86C1D0" w14:textId="5E9BFFE8" w:rsidR="007B651B" w:rsidRDefault="00C50CB9" w:rsidP="00C50CB9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- </w:t>
            </w:r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Các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doanh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nghiệp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không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được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lựa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chọn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làm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bị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đơn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bắt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buộc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trong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vụ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việc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CBPG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cần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phải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trả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lời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Bản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câu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hỏi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về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Lượng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và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Giá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trị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trong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vụ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việc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CBPG (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theo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hạn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nêu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trên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)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và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nộp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Đơn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xin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hưởng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thuế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CBPG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riêng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rẽ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(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trong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30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ngày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kể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từ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ngày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khởi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xướng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vụ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việc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)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để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được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hưởng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mức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thuế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riêng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. Trong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trường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hợp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không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được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chấp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chận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hưởng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thuế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CBPG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riêng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rẽ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các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công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ty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này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sẽ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chịu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mức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thuế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toàn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quốc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do DOC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xác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định</w:t>
            </w:r>
            <w:proofErr w:type="spellEnd"/>
            <w:r w:rsidR="007B651B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.</w:t>
            </w:r>
          </w:p>
          <w:p w14:paraId="78E41965" w14:textId="4B57D371" w:rsidR="00265632" w:rsidRDefault="00265632" w:rsidP="00265632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-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Đối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với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phạm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vi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sản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phẩm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điều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, DOC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sẽ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xem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xét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ý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kiến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của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các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bên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trước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khi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ban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hành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kết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luận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sơ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bộ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Để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DOC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có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cơ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sở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xây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dựng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bản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câu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hỏi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điều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, DOC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đã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gia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hạn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thời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gian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cho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các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bên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nộp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bình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luận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về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phạm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vi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sản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phẩm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trước</w:t>
            </w:r>
            <w:proofErr w:type="spellEnd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17</w:t>
            </w:r>
            <w:r w:rsidR="006359DE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giờ</w:t>
            </w:r>
            <w:proofErr w:type="spellEnd"/>
            <w:r w:rsidR="006359DE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Hoa </w:t>
            </w:r>
            <w:proofErr w:type="spellStart"/>
            <w:r w:rsidR="006359DE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Kỳ</w:t>
            </w:r>
            <w:proofErr w:type="spellEnd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ngày</w:t>
            </w:r>
            <w:proofErr w:type="spellEnd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10 </w:t>
            </w:r>
            <w:proofErr w:type="spellStart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tháng</w:t>
            </w:r>
            <w:proofErr w:type="spellEnd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6 </w:t>
            </w:r>
            <w:proofErr w:type="spellStart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năm</w:t>
            </w:r>
            <w:proofErr w:type="spellEnd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2024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và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bình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luận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phản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biện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về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phạm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vi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sản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phẩm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trước</w:t>
            </w:r>
            <w:proofErr w:type="spellEnd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17</w:t>
            </w:r>
            <w:r w:rsidR="006359DE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giờ</w:t>
            </w:r>
            <w:proofErr w:type="spellEnd"/>
            <w:r w:rsidR="006359DE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Hoa </w:t>
            </w:r>
            <w:proofErr w:type="spellStart"/>
            <w:r w:rsidR="006359DE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Kỳ</w:t>
            </w:r>
            <w:proofErr w:type="spellEnd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ngày</w:t>
            </w:r>
            <w:proofErr w:type="spellEnd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20 </w:t>
            </w:r>
            <w:proofErr w:type="spellStart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tháng</w:t>
            </w:r>
            <w:proofErr w:type="spellEnd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6 </w:t>
            </w:r>
            <w:proofErr w:type="spellStart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>năm</w:t>
            </w:r>
            <w:proofErr w:type="spellEnd"/>
            <w:r w:rsidRPr="00043161">
              <w:rPr>
                <w:rFonts w:eastAsiaTheme="minorHAnsi"/>
                <w:b/>
                <w:bCs/>
                <w:sz w:val="26"/>
                <w:szCs w:val="26"/>
                <w:u w:val="single"/>
                <w:lang w:eastAsia="en-US"/>
              </w:rPr>
              <w:t xml:space="preserve"> 2024</w:t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. </w:t>
            </w:r>
          </w:p>
          <w:p w14:paraId="488F0B33" w14:textId="066B5A45" w:rsidR="006359DE" w:rsidRPr="00043161" w:rsidRDefault="006359DE" w:rsidP="006359DE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- </w:t>
            </w:r>
            <w:r w:rsidRPr="00043161">
              <w:rPr>
                <w:bCs/>
                <w:sz w:val="26"/>
                <w:szCs w:val="26"/>
              </w:rPr>
              <w:t xml:space="preserve">Các </w:t>
            </w:r>
            <w:proofErr w:type="spellStart"/>
            <w:r w:rsidRPr="00043161">
              <w:rPr>
                <w:bCs/>
                <w:sz w:val="26"/>
                <w:szCs w:val="26"/>
              </w:rPr>
              <w:t>bên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có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thời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hạn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để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bình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luận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về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nước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và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giá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trị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thay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thế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trước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khi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DOC ban </w:t>
            </w:r>
            <w:proofErr w:type="spellStart"/>
            <w:r w:rsidRPr="00043161">
              <w:rPr>
                <w:bCs/>
                <w:sz w:val="26"/>
                <w:szCs w:val="26"/>
              </w:rPr>
              <w:t>hành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kết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luận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sơ</w:t>
            </w:r>
            <w:proofErr w:type="spellEnd"/>
            <w:r w:rsidRPr="00043161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043161">
              <w:rPr>
                <w:bCs/>
                <w:sz w:val="26"/>
                <w:szCs w:val="26"/>
              </w:rPr>
              <w:t>bộ</w:t>
            </w:r>
            <w:proofErr w:type="spellEnd"/>
            <w:r w:rsidR="00D2296A">
              <w:rPr>
                <w:bCs/>
                <w:sz w:val="26"/>
                <w:szCs w:val="26"/>
              </w:rPr>
              <w:t xml:space="preserve"> </w:t>
            </w:r>
            <w:r w:rsidR="00D2296A" w:rsidRPr="00043161">
              <w:rPr>
                <w:bCs/>
                <w:sz w:val="26"/>
                <w:szCs w:val="26"/>
              </w:rPr>
              <w:t xml:space="preserve">30 </w:t>
            </w:r>
            <w:proofErr w:type="spellStart"/>
            <w:r w:rsidR="00D2296A" w:rsidRPr="00043161">
              <w:rPr>
                <w:bCs/>
                <w:sz w:val="26"/>
                <w:szCs w:val="26"/>
              </w:rPr>
              <w:t>ngày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. </w:t>
            </w:r>
          </w:p>
          <w:p w14:paraId="18C6161E" w14:textId="451794DC" w:rsidR="007B651B" w:rsidRPr="00043161" w:rsidRDefault="007B651B" w:rsidP="007B651B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-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Trưởng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hợp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cần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gia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hạn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đối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với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các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thời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hạn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trên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các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công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ty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cần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chủ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động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nộp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đơn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xin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gia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hạn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và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phải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được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DOC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chấp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thuận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Tất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cả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các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tài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liệu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cần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phải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nộp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trên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C</w:t>
            </w:r>
            <w:r w:rsidR="00265632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ổng</w:t>
            </w:r>
            <w:proofErr w:type="spellEnd"/>
            <w:r w:rsidR="00265632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thông</w:t>
            </w:r>
            <w:proofErr w:type="spellEnd"/>
            <w:r w:rsidR="00265632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tin </w:t>
            </w:r>
            <w:proofErr w:type="spellStart"/>
            <w:r w:rsidR="00265632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điện</w:t>
            </w:r>
            <w:proofErr w:type="spellEnd"/>
            <w:r w:rsidR="00265632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tử</w:t>
            </w:r>
            <w:proofErr w:type="spellEnd"/>
            <w:r w:rsidR="00265632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về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phòng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vệ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thương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mại</w:t>
            </w:r>
            <w:proofErr w:type="spellEnd"/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265632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của</w:t>
            </w:r>
            <w:proofErr w:type="spellEnd"/>
            <w:r w:rsidR="00265632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DOC</w:t>
            </w:r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- ACCESS</w:t>
            </w:r>
            <w:r w:rsidR="00265632">
              <w:rPr>
                <w:rFonts w:eastAsiaTheme="minorHAnsi"/>
                <w:bCs/>
                <w:sz w:val="26"/>
                <w:szCs w:val="26"/>
                <w:lang w:eastAsia="en-US"/>
              </w:rPr>
              <w:t>.</w:t>
            </w:r>
          </w:p>
          <w:p w14:paraId="0F657F39" w14:textId="77777777" w:rsidR="007B651B" w:rsidRPr="00043161" w:rsidRDefault="007B651B" w:rsidP="007B651B">
            <w:pPr>
              <w:spacing w:before="120" w:after="240" w:line="276" w:lineRule="auto"/>
              <w:ind w:firstLine="720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3. </w:t>
            </w:r>
            <w:proofErr w:type="spellStart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Một</w:t>
            </w:r>
            <w:proofErr w:type="spellEnd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số</w:t>
            </w:r>
            <w:proofErr w:type="spellEnd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khuyến</w:t>
            </w:r>
            <w:proofErr w:type="spellEnd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nghị</w:t>
            </w:r>
            <w:proofErr w:type="spellEnd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ứng</w:t>
            </w:r>
            <w:proofErr w:type="spellEnd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>phó</w:t>
            </w:r>
            <w:proofErr w:type="spellEnd"/>
            <w:r w:rsidRPr="00043161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</w:p>
          <w:p w14:paraId="089EFECB" w14:textId="1D05DF60" w:rsidR="007B651B" w:rsidRPr="00043161" w:rsidRDefault="00043161" w:rsidP="007B651B">
            <w:pPr>
              <w:tabs>
                <w:tab w:val="left" w:pos="990"/>
              </w:tabs>
              <w:spacing w:before="120" w:after="240" w:line="276" w:lineRule="auto"/>
              <w:ind w:firstLine="72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Để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đảm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bảo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quyền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lợi</w:t>
            </w:r>
            <w:proofErr w:type="spellEnd"/>
            <w:r w:rsidR="00356AA4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56AA4">
              <w:rPr>
                <w:rFonts w:eastAsiaTheme="minorHAnsi"/>
                <w:bCs/>
                <w:sz w:val="26"/>
                <w:szCs w:val="26"/>
                <w:lang w:eastAsia="en-US"/>
              </w:rPr>
              <w:t>chính</w:t>
            </w:r>
            <w:proofErr w:type="spellEnd"/>
            <w:r w:rsidR="00356AA4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56AA4">
              <w:rPr>
                <w:rFonts w:eastAsiaTheme="minorHAnsi"/>
                <w:bCs/>
                <w:sz w:val="26"/>
                <w:szCs w:val="26"/>
                <w:lang w:eastAsia="en-US"/>
              </w:rPr>
              <w:t>đáng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của</w:t>
            </w:r>
            <w:proofErr w:type="spellEnd"/>
            <w:r w:rsidR="00356AA4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356AA4">
              <w:rPr>
                <w:rFonts w:eastAsiaTheme="minorHAnsi"/>
                <w:bCs/>
                <w:sz w:val="26"/>
                <w:szCs w:val="26"/>
                <w:lang w:eastAsia="en-US"/>
              </w:rPr>
              <w:t>mình</w:t>
            </w:r>
            <w:proofErr w:type="spellEnd"/>
            <w:r w:rsidR="00356AA4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,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các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doanh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nghiệp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xuất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khẩu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liên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quan</w:t>
            </w:r>
            <w:proofErr w:type="spellEnd"/>
            <w:r w:rsidR="00356AA4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sz w:val="26"/>
                <w:szCs w:val="26"/>
                <w:lang w:eastAsia="en-US"/>
              </w:rPr>
              <w:t>cần</w:t>
            </w:r>
            <w:proofErr w:type="spellEnd"/>
            <w:r w:rsidR="007B651B" w:rsidRPr="00043161">
              <w:rPr>
                <w:rFonts w:eastAsiaTheme="minorHAnsi"/>
                <w:sz w:val="26"/>
                <w:szCs w:val="26"/>
                <w:lang w:eastAsia="en-US"/>
              </w:rPr>
              <w:t>:</w:t>
            </w:r>
          </w:p>
          <w:p w14:paraId="56A16EA9" w14:textId="77777777" w:rsidR="007B651B" w:rsidRPr="00043161" w:rsidRDefault="007B651B" w:rsidP="007B651B">
            <w:pPr>
              <w:tabs>
                <w:tab w:val="left" w:pos="990"/>
              </w:tabs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lastRenderedPageBreak/>
              <w:t xml:space="preserve">-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Tiếp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tục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theo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dõi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chặt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chẽ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diễn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biến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của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vụ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việc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;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chủ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động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nghiên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cứu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nắm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vững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quy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định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trình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tự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thủ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tục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điều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CBPG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và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CTC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của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Hoa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Kỳ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;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dạng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hóa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thị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trường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và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mặt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hàng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xuất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khẩu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;</w:t>
            </w:r>
          </w:p>
          <w:p w14:paraId="0A1F3D16" w14:textId="0B73A0AF" w:rsidR="007B651B" w:rsidRPr="00043161" w:rsidRDefault="007B651B" w:rsidP="007B651B">
            <w:pPr>
              <w:tabs>
                <w:tab w:val="left" w:pos="990"/>
              </w:tabs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-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Hợp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tác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đầy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đủ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với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Cơ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quan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điều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Hoa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Kỳ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trong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suốt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quá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trình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diễn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ra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vụ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việc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Bất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kỳ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hành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động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thể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hiện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sự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bất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hợp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tác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hoặc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hợp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tác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không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đầy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đủ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có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thể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dẫn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tới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việc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Cơ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quan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điều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Hoa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Kỳ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sử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dụng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các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chứng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cứ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sẵn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có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bất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lợi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hoặc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áp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dụng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mức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thuế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CBPG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và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CTC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cao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nhất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cho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doanh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nghiệp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Trước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mắt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cần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lưu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ý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các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mốc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thời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gian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tại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mục</w:t>
            </w:r>
            <w:proofErr w:type="spellEnd"/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2</w:t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;</w:t>
            </w:r>
          </w:p>
          <w:p w14:paraId="6B7739D9" w14:textId="7C2F1A76" w:rsidR="007B651B" w:rsidRPr="00043161" w:rsidRDefault="007B651B" w:rsidP="007B651B">
            <w:pPr>
              <w:tabs>
                <w:tab w:val="left" w:pos="990"/>
              </w:tabs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-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Chủ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động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đăng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ký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tài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khoản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r w:rsidR="006359DE">
              <w:rPr>
                <w:rFonts w:eastAsiaTheme="minorHAnsi"/>
                <w:bCs/>
                <w:sz w:val="26"/>
                <w:szCs w:val="26"/>
                <w:lang w:eastAsia="en-US"/>
              </w:rPr>
              <w:t>ACESS</w:t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(</w:t>
            </w:r>
            <w:hyperlink r:id="rId5" w:history="1">
              <w:r w:rsidRPr="00043161">
                <w:rPr>
                  <w:rFonts w:eastAsiaTheme="minorHAnsi"/>
                  <w:bCs/>
                  <w:sz w:val="26"/>
                  <w:szCs w:val="26"/>
                  <w:u w:val="single"/>
                  <w:lang w:eastAsia="en-US"/>
                </w:rPr>
                <w:t>https://access.trade.gov/login.aspx</w:t>
              </w:r>
            </w:hyperlink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)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nhằm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cập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nhật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thông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tin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và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nộp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các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văn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bản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tài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liệu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liên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quan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tới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Cơ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quan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điều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tra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Hoa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Kỳ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;  </w:t>
            </w:r>
          </w:p>
          <w:p w14:paraId="57F33743" w14:textId="77777777" w:rsidR="007B651B" w:rsidRPr="00043161" w:rsidRDefault="007B651B" w:rsidP="007B651B">
            <w:pPr>
              <w:tabs>
                <w:tab w:val="left" w:pos="990"/>
              </w:tabs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- Thường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xuyên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phối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hợp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cập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nhật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thông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tin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cho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Cục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PVTM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để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nhận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được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sự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hỗ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trợ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kịp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thời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.</w:t>
            </w:r>
          </w:p>
          <w:p w14:paraId="7F386EC0" w14:textId="25A7D3BB" w:rsidR="007D0426" w:rsidRPr="00043161" w:rsidRDefault="007B651B" w:rsidP="007B651B">
            <w:pPr>
              <w:tabs>
                <w:tab w:val="left" w:pos="990"/>
              </w:tabs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</w:pP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Thông tin chi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tiết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xin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liên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hệ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: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Phòng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Xử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lý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PVTM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nước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ngoài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Cục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PVTM,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Bộ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Công Thương, 23 Ngô Quyền, Hoàn Kiếm, Hà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Nội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(Chuyên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viên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phụ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trách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: </w:t>
            </w:r>
            <w:r w:rsidR="00E23436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Nguyễn Anh Thơ</w:t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Điện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thoại</w:t>
            </w:r>
            <w:proofErr w:type="spellEnd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: 0</w:t>
            </w:r>
            <w:r w:rsidR="00585B16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24.7303.7898</w:t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, Email:</w:t>
            </w:r>
            <w:r w:rsidR="00E23436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hyperlink r:id="rId6" w:history="1">
              <w:r w:rsidR="00E23436" w:rsidRPr="00043161">
                <w:rPr>
                  <w:rStyle w:val="Hyperlink"/>
                  <w:rFonts w:eastAsiaTheme="minorHAnsi"/>
                  <w:bCs/>
                  <w:color w:val="auto"/>
                  <w:sz w:val="26"/>
                  <w:szCs w:val="26"/>
                  <w:lang w:eastAsia="en-US"/>
                </w:rPr>
                <w:t>thona@moit.gov.vn</w:t>
              </w:r>
            </w:hyperlink>
            <w:r w:rsidR="00E23436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; </w:t>
            </w:r>
            <w:bookmarkStart w:id="1" w:name="_Hlk135666594"/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fldChar w:fldCharType="begin"/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instrText xml:space="preserve"> HYPERLINK "mailto:ngocny@moit.gov.vn" </w:instrText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fldChar w:fldCharType="separate"/>
            </w:r>
            <w:r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ngocny@moit.gov.vn</w:t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fldChar w:fldCharType="end"/>
            </w:r>
            <w:r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, Website: </w:t>
            </w:r>
            <w:hyperlink r:id="rId7" w:history="1">
              <w:r w:rsidRPr="00043161">
                <w:rPr>
                  <w:rFonts w:eastAsiaTheme="minorHAnsi"/>
                  <w:bCs/>
                  <w:sz w:val="26"/>
                  <w:szCs w:val="26"/>
                  <w:u w:val="single"/>
                  <w:lang w:eastAsia="en-US"/>
                </w:rPr>
                <w:t>http://trav.gov.vn</w:t>
              </w:r>
            </w:hyperlink>
            <w:bookmarkEnd w:id="1"/>
          </w:p>
          <w:p w14:paraId="35E81F32" w14:textId="253F04B8" w:rsidR="008174B8" w:rsidRPr="00043161" w:rsidRDefault="006359DE" w:rsidP="007B651B">
            <w:pPr>
              <w:tabs>
                <w:tab w:val="left" w:pos="990"/>
              </w:tabs>
              <w:spacing w:before="120" w:after="240" w:line="276" w:lineRule="auto"/>
              <w:ind w:firstLine="720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Xem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các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r w:rsidR="008174B8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Thông </w:t>
            </w:r>
            <w:proofErr w:type="spellStart"/>
            <w:r w:rsidR="008174B8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>báo</w:t>
            </w:r>
            <w:proofErr w:type="spellEnd"/>
            <w:r w:rsidR="008174B8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liên</w:t>
            </w:r>
            <w:proofErr w:type="spell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>quan</w:t>
            </w:r>
            <w:proofErr w:type="spellEnd"/>
            <w:r w:rsidR="008174B8" w:rsidRPr="00043161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8174B8"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tại</w:t>
            </w:r>
            <w:proofErr w:type="spellEnd"/>
            <w:r w:rsidR="008174B8"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  <w:proofErr w:type="spellStart"/>
            <w:r w:rsidR="008174B8" w:rsidRPr="00043161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đây</w:t>
            </w:r>
            <w:proofErr w:type="spellEnd"/>
            <w:r w:rsidR="00C71D59">
              <w:rPr>
                <w:rFonts w:eastAsiaTheme="minorHAnsi"/>
                <w:bCs/>
                <w:sz w:val="26"/>
                <w:szCs w:val="26"/>
                <w:u w:val="single"/>
                <w:lang w:eastAsia="en-US"/>
              </w:rPr>
              <w:t>.</w:t>
            </w:r>
          </w:p>
        </w:tc>
      </w:tr>
    </w:tbl>
    <w:p w14:paraId="4ED62AF5" w14:textId="77777777" w:rsidR="000D346E" w:rsidRPr="00043161" w:rsidRDefault="000D346E">
      <w:pPr>
        <w:spacing w:before="288" w:after="288"/>
      </w:pPr>
    </w:p>
    <w:sectPr w:rsidR="000D346E" w:rsidRPr="00043161" w:rsidSect="000621A7">
      <w:pgSz w:w="11907" w:h="16840" w:code="9"/>
      <w:pgMar w:top="851" w:right="1134" w:bottom="284" w:left="1134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-Bold">
    <w:altName w:val="Verdan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4334"/>
    <w:multiLevelType w:val="hybridMultilevel"/>
    <w:tmpl w:val="292E2AF4"/>
    <w:lvl w:ilvl="0" w:tplc="DB0AD0AE">
      <w:numFmt w:val="bullet"/>
      <w:lvlText w:val="-"/>
      <w:lvlJc w:val="left"/>
      <w:pPr>
        <w:ind w:left="92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" w15:restartNumberingAfterBreak="0">
    <w:nsid w:val="1AA31D1B"/>
    <w:multiLevelType w:val="hybridMultilevel"/>
    <w:tmpl w:val="BE3816BC"/>
    <w:lvl w:ilvl="0" w:tplc="118680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647" w:hanging="360"/>
      </w:pPr>
    </w:lvl>
    <w:lvl w:ilvl="2" w:tplc="4409001B" w:tentative="1">
      <w:start w:val="1"/>
      <w:numFmt w:val="lowerRoman"/>
      <w:lvlText w:val="%3."/>
      <w:lvlJc w:val="right"/>
      <w:pPr>
        <w:ind w:left="2367" w:hanging="180"/>
      </w:pPr>
    </w:lvl>
    <w:lvl w:ilvl="3" w:tplc="4409000F" w:tentative="1">
      <w:start w:val="1"/>
      <w:numFmt w:val="decimal"/>
      <w:lvlText w:val="%4."/>
      <w:lvlJc w:val="left"/>
      <w:pPr>
        <w:ind w:left="3087" w:hanging="360"/>
      </w:pPr>
    </w:lvl>
    <w:lvl w:ilvl="4" w:tplc="44090019" w:tentative="1">
      <w:start w:val="1"/>
      <w:numFmt w:val="lowerLetter"/>
      <w:lvlText w:val="%5."/>
      <w:lvlJc w:val="left"/>
      <w:pPr>
        <w:ind w:left="3807" w:hanging="360"/>
      </w:pPr>
    </w:lvl>
    <w:lvl w:ilvl="5" w:tplc="4409001B" w:tentative="1">
      <w:start w:val="1"/>
      <w:numFmt w:val="lowerRoman"/>
      <w:lvlText w:val="%6."/>
      <w:lvlJc w:val="right"/>
      <w:pPr>
        <w:ind w:left="4527" w:hanging="180"/>
      </w:pPr>
    </w:lvl>
    <w:lvl w:ilvl="6" w:tplc="4409000F" w:tentative="1">
      <w:start w:val="1"/>
      <w:numFmt w:val="decimal"/>
      <w:lvlText w:val="%7."/>
      <w:lvlJc w:val="left"/>
      <w:pPr>
        <w:ind w:left="5247" w:hanging="360"/>
      </w:pPr>
    </w:lvl>
    <w:lvl w:ilvl="7" w:tplc="44090019" w:tentative="1">
      <w:start w:val="1"/>
      <w:numFmt w:val="lowerLetter"/>
      <w:lvlText w:val="%8."/>
      <w:lvlJc w:val="left"/>
      <w:pPr>
        <w:ind w:left="5967" w:hanging="360"/>
      </w:pPr>
    </w:lvl>
    <w:lvl w:ilvl="8" w:tplc="4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BE4C75"/>
    <w:multiLevelType w:val="hybridMultilevel"/>
    <w:tmpl w:val="6BA2C546"/>
    <w:lvl w:ilvl="0" w:tplc="48DA4848">
      <w:numFmt w:val="bullet"/>
      <w:lvlText w:val="-"/>
      <w:lvlJc w:val="left"/>
      <w:pPr>
        <w:ind w:left="94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3" w15:restartNumberingAfterBreak="0">
    <w:nsid w:val="27F9379D"/>
    <w:multiLevelType w:val="hybridMultilevel"/>
    <w:tmpl w:val="F84E913E"/>
    <w:lvl w:ilvl="0" w:tplc="EC88DC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2A1F2B"/>
    <w:multiLevelType w:val="hybridMultilevel"/>
    <w:tmpl w:val="9A10DB14"/>
    <w:lvl w:ilvl="0" w:tplc="3698BEE2">
      <w:start w:val="2"/>
      <w:numFmt w:val="bullet"/>
      <w:lvlText w:val="-"/>
      <w:lvlJc w:val="left"/>
      <w:pPr>
        <w:ind w:left="1211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170607949">
    <w:abstractNumId w:val="3"/>
  </w:num>
  <w:num w:numId="2" w16cid:durableId="1909269477">
    <w:abstractNumId w:val="4"/>
  </w:num>
  <w:num w:numId="3" w16cid:durableId="858085631">
    <w:abstractNumId w:val="1"/>
  </w:num>
  <w:num w:numId="4" w16cid:durableId="1673484788">
    <w:abstractNumId w:val="0"/>
  </w:num>
  <w:num w:numId="5" w16cid:durableId="1788812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cwNzAzsjAxNjQ0tzRU0lEKTi0uzszPAykwrAUAeLQrTCwAAAA="/>
  </w:docVars>
  <w:rsids>
    <w:rsidRoot w:val="003A2F5B"/>
    <w:rsid w:val="000116E8"/>
    <w:rsid w:val="00026FBF"/>
    <w:rsid w:val="000342FC"/>
    <w:rsid w:val="00037622"/>
    <w:rsid w:val="00041EC8"/>
    <w:rsid w:val="00043161"/>
    <w:rsid w:val="00047CB0"/>
    <w:rsid w:val="000535F8"/>
    <w:rsid w:val="00053B2A"/>
    <w:rsid w:val="000621A7"/>
    <w:rsid w:val="00067E15"/>
    <w:rsid w:val="0007359D"/>
    <w:rsid w:val="00073FF2"/>
    <w:rsid w:val="00075B64"/>
    <w:rsid w:val="00077708"/>
    <w:rsid w:val="000835D2"/>
    <w:rsid w:val="0008388E"/>
    <w:rsid w:val="00092FBC"/>
    <w:rsid w:val="000A13A3"/>
    <w:rsid w:val="000A2352"/>
    <w:rsid w:val="000B2FDB"/>
    <w:rsid w:val="000B613B"/>
    <w:rsid w:val="000B7209"/>
    <w:rsid w:val="000D1CA4"/>
    <w:rsid w:val="000D346E"/>
    <w:rsid w:val="000D36F5"/>
    <w:rsid w:val="000E749D"/>
    <w:rsid w:val="000F10AC"/>
    <w:rsid w:val="000F1D04"/>
    <w:rsid w:val="000F1D73"/>
    <w:rsid w:val="000F2379"/>
    <w:rsid w:val="000F2CF9"/>
    <w:rsid w:val="000F5A37"/>
    <w:rsid w:val="000F6BB1"/>
    <w:rsid w:val="000F7538"/>
    <w:rsid w:val="000F7FF1"/>
    <w:rsid w:val="00103425"/>
    <w:rsid w:val="001170FA"/>
    <w:rsid w:val="0011773B"/>
    <w:rsid w:val="00117743"/>
    <w:rsid w:val="001300D9"/>
    <w:rsid w:val="001306DD"/>
    <w:rsid w:val="0015169F"/>
    <w:rsid w:val="00153974"/>
    <w:rsid w:val="00160105"/>
    <w:rsid w:val="00160E9A"/>
    <w:rsid w:val="0016457F"/>
    <w:rsid w:val="0016549B"/>
    <w:rsid w:val="001679B4"/>
    <w:rsid w:val="0017027C"/>
    <w:rsid w:val="00176540"/>
    <w:rsid w:val="001777FF"/>
    <w:rsid w:val="001969A5"/>
    <w:rsid w:val="001A0447"/>
    <w:rsid w:val="001A6336"/>
    <w:rsid w:val="001A79BB"/>
    <w:rsid w:val="001C4EFF"/>
    <w:rsid w:val="001C767F"/>
    <w:rsid w:val="001C7BF3"/>
    <w:rsid w:val="001D6E40"/>
    <w:rsid w:val="001F4F9B"/>
    <w:rsid w:val="001F573C"/>
    <w:rsid w:val="001F5BD8"/>
    <w:rsid w:val="001F6201"/>
    <w:rsid w:val="00202177"/>
    <w:rsid w:val="00202E39"/>
    <w:rsid w:val="002061C7"/>
    <w:rsid w:val="00207EB3"/>
    <w:rsid w:val="0021365C"/>
    <w:rsid w:val="002175BE"/>
    <w:rsid w:val="002224DB"/>
    <w:rsid w:val="002301CF"/>
    <w:rsid w:val="00242301"/>
    <w:rsid w:val="002621AD"/>
    <w:rsid w:val="00262841"/>
    <w:rsid w:val="00265632"/>
    <w:rsid w:val="002671ED"/>
    <w:rsid w:val="00270A96"/>
    <w:rsid w:val="0027391E"/>
    <w:rsid w:val="002740B7"/>
    <w:rsid w:val="00275BFA"/>
    <w:rsid w:val="0027635E"/>
    <w:rsid w:val="00280407"/>
    <w:rsid w:val="0028202E"/>
    <w:rsid w:val="0028639A"/>
    <w:rsid w:val="00286761"/>
    <w:rsid w:val="002905A4"/>
    <w:rsid w:val="00290C8D"/>
    <w:rsid w:val="00291E67"/>
    <w:rsid w:val="002B17D8"/>
    <w:rsid w:val="002C443D"/>
    <w:rsid w:val="002E7912"/>
    <w:rsid w:val="002F102D"/>
    <w:rsid w:val="00302CBF"/>
    <w:rsid w:val="0030763D"/>
    <w:rsid w:val="0031000F"/>
    <w:rsid w:val="003108F5"/>
    <w:rsid w:val="0031182C"/>
    <w:rsid w:val="0033728C"/>
    <w:rsid w:val="0034148B"/>
    <w:rsid w:val="003452D6"/>
    <w:rsid w:val="003507FE"/>
    <w:rsid w:val="00350E0D"/>
    <w:rsid w:val="00356AA4"/>
    <w:rsid w:val="00364D67"/>
    <w:rsid w:val="003661A9"/>
    <w:rsid w:val="00376DBF"/>
    <w:rsid w:val="003851AA"/>
    <w:rsid w:val="003918C9"/>
    <w:rsid w:val="00394F48"/>
    <w:rsid w:val="003A2F5B"/>
    <w:rsid w:val="003A3AF5"/>
    <w:rsid w:val="003A5577"/>
    <w:rsid w:val="003B1376"/>
    <w:rsid w:val="003B2517"/>
    <w:rsid w:val="003B293F"/>
    <w:rsid w:val="003C1967"/>
    <w:rsid w:val="003C6325"/>
    <w:rsid w:val="003D30D0"/>
    <w:rsid w:val="003D5B6F"/>
    <w:rsid w:val="003D70AB"/>
    <w:rsid w:val="003F7708"/>
    <w:rsid w:val="00414AAD"/>
    <w:rsid w:val="004268CF"/>
    <w:rsid w:val="0043098D"/>
    <w:rsid w:val="004333E2"/>
    <w:rsid w:val="00441D28"/>
    <w:rsid w:val="00450BE9"/>
    <w:rsid w:val="00452325"/>
    <w:rsid w:val="00452712"/>
    <w:rsid w:val="0046011D"/>
    <w:rsid w:val="004806BF"/>
    <w:rsid w:val="00481819"/>
    <w:rsid w:val="004942C1"/>
    <w:rsid w:val="0049603D"/>
    <w:rsid w:val="004A68C8"/>
    <w:rsid w:val="004B2C91"/>
    <w:rsid w:val="004B5B88"/>
    <w:rsid w:val="004C05E1"/>
    <w:rsid w:val="004E1AF8"/>
    <w:rsid w:val="00505260"/>
    <w:rsid w:val="005062ED"/>
    <w:rsid w:val="00507A7F"/>
    <w:rsid w:val="00512E3D"/>
    <w:rsid w:val="005215B4"/>
    <w:rsid w:val="00527DD8"/>
    <w:rsid w:val="005317E5"/>
    <w:rsid w:val="005552C2"/>
    <w:rsid w:val="005604F5"/>
    <w:rsid w:val="00565D01"/>
    <w:rsid w:val="00566FC0"/>
    <w:rsid w:val="00585B16"/>
    <w:rsid w:val="005A7F76"/>
    <w:rsid w:val="005B5ECA"/>
    <w:rsid w:val="005D2A3D"/>
    <w:rsid w:val="005E5933"/>
    <w:rsid w:val="005F7FF3"/>
    <w:rsid w:val="00604FA2"/>
    <w:rsid w:val="00606A99"/>
    <w:rsid w:val="00613A4D"/>
    <w:rsid w:val="0061491B"/>
    <w:rsid w:val="00614D77"/>
    <w:rsid w:val="0062061E"/>
    <w:rsid w:val="0062296A"/>
    <w:rsid w:val="00623B70"/>
    <w:rsid w:val="006359DE"/>
    <w:rsid w:val="00655128"/>
    <w:rsid w:val="00657960"/>
    <w:rsid w:val="00664397"/>
    <w:rsid w:val="0066527A"/>
    <w:rsid w:val="00670E29"/>
    <w:rsid w:val="0068654C"/>
    <w:rsid w:val="00691572"/>
    <w:rsid w:val="006A1FB4"/>
    <w:rsid w:val="006B4338"/>
    <w:rsid w:val="006C12AE"/>
    <w:rsid w:val="006C33E4"/>
    <w:rsid w:val="006C40E5"/>
    <w:rsid w:val="006D75FC"/>
    <w:rsid w:val="006E75BD"/>
    <w:rsid w:val="006F1841"/>
    <w:rsid w:val="006F3FCB"/>
    <w:rsid w:val="007122CA"/>
    <w:rsid w:val="00715D70"/>
    <w:rsid w:val="007161F6"/>
    <w:rsid w:val="00721513"/>
    <w:rsid w:val="00722E95"/>
    <w:rsid w:val="0072529B"/>
    <w:rsid w:val="00726738"/>
    <w:rsid w:val="007274F0"/>
    <w:rsid w:val="00741B53"/>
    <w:rsid w:val="007451F5"/>
    <w:rsid w:val="0074575E"/>
    <w:rsid w:val="00750323"/>
    <w:rsid w:val="0077735F"/>
    <w:rsid w:val="00781CAB"/>
    <w:rsid w:val="00783C5B"/>
    <w:rsid w:val="00784136"/>
    <w:rsid w:val="00784843"/>
    <w:rsid w:val="00786123"/>
    <w:rsid w:val="007938CD"/>
    <w:rsid w:val="007941BD"/>
    <w:rsid w:val="007B09C8"/>
    <w:rsid w:val="007B0BB4"/>
    <w:rsid w:val="007B651B"/>
    <w:rsid w:val="007C3C30"/>
    <w:rsid w:val="007D0426"/>
    <w:rsid w:val="007D1031"/>
    <w:rsid w:val="0080540A"/>
    <w:rsid w:val="008155AA"/>
    <w:rsid w:val="008174B8"/>
    <w:rsid w:val="00820535"/>
    <w:rsid w:val="00822786"/>
    <w:rsid w:val="008259BE"/>
    <w:rsid w:val="00832185"/>
    <w:rsid w:val="00835FFD"/>
    <w:rsid w:val="00845E78"/>
    <w:rsid w:val="00854EFB"/>
    <w:rsid w:val="008611A4"/>
    <w:rsid w:val="008738C2"/>
    <w:rsid w:val="00875FA0"/>
    <w:rsid w:val="0089639C"/>
    <w:rsid w:val="008B3AF7"/>
    <w:rsid w:val="008C4170"/>
    <w:rsid w:val="008C5201"/>
    <w:rsid w:val="008D1334"/>
    <w:rsid w:val="008D36F6"/>
    <w:rsid w:val="008D432A"/>
    <w:rsid w:val="008E14F3"/>
    <w:rsid w:val="008E22B0"/>
    <w:rsid w:val="008F399F"/>
    <w:rsid w:val="008F7608"/>
    <w:rsid w:val="009036DC"/>
    <w:rsid w:val="0091088B"/>
    <w:rsid w:val="00915824"/>
    <w:rsid w:val="00917471"/>
    <w:rsid w:val="009222B4"/>
    <w:rsid w:val="00923AB9"/>
    <w:rsid w:val="00926623"/>
    <w:rsid w:val="00930197"/>
    <w:rsid w:val="0093143A"/>
    <w:rsid w:val="00931515"/>
    <w:rsid w:val="00937CE0"/>
    <w:rsid w:val="00961229"/>
    <w:rsid w:val="00967605"/>
    <w:rsid w:val="00972905"/>
    <w:rsid w:val="00990FB4"/>
    <w:rsid w:val="009972E6"/>
    <w:rsid w:val="009A2CE5"/>
    <w:rsid w:val="009A74F9"/>
    <w:rsid w:val="009A7DC4"/>
    <w:rsid w:val="009B2D7D"/>
    <w:rsid w:val="009C1D0F"/>
    <w:rsid w:val="009C5C8D"/>
    <w:rsid w:val="009C7DA0"/>
    <w:rsid w:val="009F69FF"/>
    <w:rsid w:val="00A0276D"/>
    <w:rsid w:val="00A05653"/>
    <w:rsid w:val="00A12DCF"/>
    <w:rsid w:val="00A14F8B"/>
    <w:rsid w:val="00A340B0"/>
    <w:rsid w:val="00A43D0F"/>
    <w:rsid w:val="00A47339"/>
    <w:rsid w:val="00A52AF8"/>
    <w:rsid w:val="00A53003"/>
    <w:rsid w:val="00A64439"/>
    <w:rsid w:val="00A6635C"/>
    <w:rsid w:val="00A66B56"/>
    <w:rsid w:val="00A67010"/>
    <w:rsid w:val="00A963BF"/>
    <w:rsid w:val="00AA3E6F"/>
    <w:rsid w:val="00AB1C4C"/>
    <w:rsid w:val="00AB6E20"/>
    <w:rsid w:val="00AD1D16"/>
    <w:rsid w:val="00AD4B91"/>
    <w:rsid w:val="00AD5FEC"/>
    <w:rsid w:val="00AE4B15"/>
    <w:rsid w:val="00AF5BCD"/>
    <w:rsid w:val="00B05F5C"/>
    <w:rsid w:val="00B14BF7"/>
    <w:rsid w:val="00B15239"/>
    <w:rsid w:val="00B2371F"/>
    <w:rsid w:val="00B26853"/>
    <w:rsid w:val="00B27129"/>
    <w:rsid w:val="00B32165"/>
    <w:rsid w:val="00B33475"/>
    <w:rsid w:val="00B34E7F"/>
    <w:rsid w:val="00B41769"/>
    <w:rsid w:val="00B4184D"/>
    <w:rsid w:val="00B42B09"/>
    <w:rsid w:val="00B536D2"/>
    <w:rsid w:val="00B71E14"/>
    <w:rsid w:val="00B775FF"/>
    <w:rsid w:val="00B813B9"/>
    <w:rsid w:val="00B8185B"/>
    <w:rsid w:val="00B84F18"/>
    <w:rsid w:val="00B900BF"/>
    <w:rsid w:val="00BA1359"/>
    <w:rsid w:val="00BA4986"/>
    <w:rsid w:val="00BA5222"/>
    <w:rsid w:val="00BA73F5"/>
    <w:rsid w:val="00BB1865"/>
    <w:rsid w:val="00BB2D4C"/>
    <w:rsid w:val="00BD0975"/>
    <w:rsid w:val="00BD2690"/>
    <w:rsid w:val="00BD5258"/>
    <w:rsid w:val="00BE2A5F"/>
    <w:rsid w:val="00BE7050"/>
    <w:rsid w:val="00BF1491"/>
    <w:rsid w:val="00BF6695"/>
    <w:rsid w:val="00C15F91"/>
    <w:rsid w:val="00C17DD7"/>
    <w:rsid w:val="00C2086A"/>
    <w:rsid w:val="00C435AF"/>
    <w:rsid w:val="00C473FB"/>
    <w:rsid w:val="00C50CB9"/>
    <w:rsid w:val="00C56087"/>
    <w:rsid w:val="00C6051D"/>
    <w:rsid w:val="00C608B1"/>
    <w:rsid w:val="00C71267"/>
    <w:rsid w:val="00C71D59"/>
    <w:rsid w:val="00C75C1F"/>
    <w:rsid w:val="00C76623"/>
    <w:rsid w:val="00C92D75"/>
    <w:rsid w:val="00CA1381"/>
    <w:rsid w:val="00CB3E2E"/>
    <w:rsid w:val="00CB685C"/>
    <w:rsid w:val="00CC6FFD"/>
    <w:rsid w:val="00CD078F"/>
    <w:rsid w:val="00CE1AFB"/>
    <w:rsid w:val="00CF7047"/>
    <w:rsid w:val="00D0244D"/>
    <w:rsid w:val="00D12E20"/>
    <w:rsid w:val="00D14293"/>
    <w:rsid w:val="00D2296A"/>
    <w:rsid w:val="00D33D7C"/>
    <w:rsid w:val="00D34BCB"/>
    <w:rsid w:val="00D357D6"/>
    <w:rsid w:val="00D4150A"/>
    <w:rsid w:val="00D61FBC"/>
    <w:rsid w:val="00D72B31"/>
    <w:rsid w:val="00D76290"/>
    <w:rsid w:val="00D90EC5"/>
    <w:rsid w:val="00D93CA0"/>
    <w:rsid w:val="00D95199"/>
    <w:rsid w:val="00D96E74"/>
    <w:rsid w:val="00DC4280"/>
    <w:rsid w:val="00DC63BE"/>
    <w:rsid w:val="00DD3F75"/>
    <w:rsid w:val="00DD7C9C"/>
    <w:rsid w:val="00DE2537"/>
    <w:rsid w:val="00DE30E0"/>
    <w:rsid w:val="00DE366D"/>
    <w:rsid w:val="00DF01C0"/>
    <w:rsid w:val="00DF6D50"/>
    <w:rsid w:val="00DF7188"/>
    <w:rsid w:val="00E0161C"/>
    <w:rsid w:val="00E07CBA"/>
    <w:rsid w:val="00E150F7"/>
    <w:rsid w:val="00E23436"/>
    <w:rsid w:val="00E33F21"/>
    <w:rsid w:val="00E43D4D"/>
    <w:rsid w:val="00E46382"/>
    <w:rsid w:val="00E50A81"/>
    <w:rsid w:val="00E654DB"/>
    <w:rsid w:val="00E66F76"/>
    <w:rsid w:val="00E72D15"/>
    <w:rsid w:val="00E82BB1"/>
    <w:rsid w:val="00E9044D"/>
    <w:rsid w:val="00E911CC"/>
    <w:rsid w:val="00E978DB"/>
    <w:rsid w:val="00EA0B91"/>
    <w:rsid w:val="00EA0D93"/>
    <w:rsid w:val="00EA201E"/>
    <w:rsid w:val="00EB7F91"/>
    <w:rsid w:val="00EC4006"/>
    <w:rsid w:val="00EC5611"/>
    <w:rsid w:val="00ED75EB"/>
    <w:rsid w:val="00EE3439"/>
    <w:rsid w:val="00EE59AA"/>
    <w:rsid w:val="00EF0B90"/>
    <w:rsid w:val="00F0233E"/>
    <w:rsid w:val="00F02A7E"/>
    <w:rsid w:val="00F05BFE"/>
    <w:rsid w:val="00F2021F"/>
    <w:rsid w:val="00F21873"/>
    <w:rsid w:val="00F218B3"/>
    <w:rsid w:val="00F2718C"/>
    <w:rsid w:val="00F32411"/>
    <w:rsid w:val="00F401DF"/>
    <w:rsid w:val="00F474B7"/>
    <w:rsid w:val="00F52FD5"/>
    <w:rsid w:val="00F60137"/>
    <w:rsid w:val="00F60180"/>
    <w:rsid w:val="00F63575"/>
    <w:rsid w:val="00F65A0C"/>
    <w:rsid w:val="00F66C02"/>
    <w:rsid w:val="00F761A6"/>
    <w:rsid w:val="00F76D2B"/>
    <w:rsid w:val="00F910F7"/>
    <w:rsid w:val="00F94BC0"/>
    <w:rsid w:val="00F9548B"/>
    <w:rsid w:val="00FA6A7C"/>
    <w:rsid w:val="00FB05D0"/>
    <w:rsid w:val="00FB424C"/>
    <w:rsid w:val="00FB7A95"/>
    <w:rsid w:val="00FC114C"/>
    <w:rsid w:val="00FC5D55"/>
    <w:rsid w:val="00FC6824"/>
    <w:rsid w:val="00FE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46755"/>
  <w15:chartTrackingRefBased/>
  <w15:docId w15:val="{BF0B5D42-C31E-485A-88E5-D5E1F0B1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5201"/>
    <w:rPr>
      <w:rFonts w:eastAsia="MS Mincho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63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5B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39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8C52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C5201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uiPriority w:val="99"/>
    <w:rsid w:val="008C520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5A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A37"/>
    <w:rPr>
      <w:rFonts w:ascii="Segoe UI" w:eastAsia="MS Mincho" w:hAnsi="Segoe UI" w:cs="Segoe UI"/>
      <w:sz w:val="18"/>
      <w:szCs w:val="18"/>
      <w:lang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1969A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D3F7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D0426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E4638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505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505260"/>
    <w:rPr>
      <w:rFonts w:ascii="Verdana-Bold" w:hAnsi="Verdana-Bold" w:hint="default"/>
      <w:b/>
      <w:bCs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DefaultParagraphFont"/>
    <w:rsid w:val="00505260"/>
    <w:rPr>
      <w:rFonts w:ascii="Verdana" w:hAnsi="Verdana" w:hint="default"/>
      <w:b w:val="0"/>
      <w:bCs w:val="0"/>
      <w:i w:val="0"/>
      <w:iCs w:val="0"/>
      <w:color w:val="000000"/>
      <w:sz w:val="16"/>
      <w:szCs w:val="16"/>
    </w:rPr>
  </w:style>
  <w:style w:type="table" w:styleId="PlainTable4">
    <w:name w:val="Plain Table 4"/>
    <w:basedOn w:val="TableNormal"/>
    <w:uiPriority w:val="44"/>
    <w:rsid w:val="001A044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F23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23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2379"/>
    <w:rPr>
      <w:rFonts w:eastAsia="MS Mincho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3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2379"/>
    <w:rPr>
      <w:rFonts w:eastAsia="MS Mincho" w:cs="Times New Roman"/>
      <w:b/>
      <w:bCs/>
      <w:sz w:val="20"/>
      <w:szCs w:val="20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F399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5BF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table" w:styleId="ListTable2">
    <w:name w:val="List Table 2"/>
    <w:basedOn w:val="TableNormal"/>
    <w:uiPriority w:val="47"/>
    <w:rsid w:val="00BB2D4C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Default">
    <w:name w:val="Default"/>
    <w:rsid w:val="00D90EC5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661A9"/>
    <w:rPr>
      <w:rFonts w:eastAsia="MS Mincho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3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rav.gov.v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hona@moit.gov.vn" TargetMode="External"/><Relationship Id="rId5" Type="http://schemas.openxmlformats.org/officeDocument/2006/relationships/hyperlink" Target="https://access.trade.gov/login.asp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Dũng Nguyễn</dc:creator>
  <cp:keywords/>
  <dc:description/>
  <cp:lastModifiedBy>Yen Ngoc Nguyen</cp:lastModifiedBy>
  <cp:revision>3</cp:revision>
  <cp:lastPrinted>2024-05-30T08:08:00Z</cp:lastPrinted>
  <dcterms:created xsi:type="dcterms:W3CDTF">2024-05-30T08:06:00Z</dcterms:created>
  <dcterms:modified xsi:type="dcterms:W3CDTF">2024-05-30T08:31:00Z</dcterms:modified>
</cp:coreProperties>
</file>